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6DE20E" w14:textId="77777777" w:rsidR="00665415" w:rsidRPr="00482D77" w:rsidRDefault="00665415" w:rsidP="00665415">
      <w:pPr>
        <w:keepNext/>
        <w:spacing w:before="120" w:after="120" w:line="240" w:lineRule="auto"/>
        <w:jc w:val="center"/>
        <w:outlineLvl w:val="0"/>
        <w:rPr>
          <w:rFonts w:eastAsia="SimSun" w:cs="Calibri"/>
          <w:b/>
          <w:bCs/>
          <w:kern w:val="32"/>
          <w:sz w:val="28"/>
          <w:szCs w:val="28"/>
          <w:u w:color="000000"/>
          <w:lang w:val="en-US"/>
        </w:rPr>
      </w:pPr>
      <w:bookmarkStart w:id="0" w:name="_Toc205917362"/>
      <w:bookmarkStart w:id="1" w:name="_Toc206154217"/>
      <w:bookmarkStart w:id="2" w:name="_Toc218605954"/>
      <w:bookmarkStart w:id="3" w:name="_Hlk157607364"/>
      <w:r w:rsidRPr="00482D77">
        <w:rPr>
          <w:rFonts w:eastAsia="SimSun" w:cs="Calibri"/>
          <w:b/>
          <w:bCs/>
          <w:kern w:val="32"/>
          <w:sz w:val="28"/>
          <w:szCs w:val="28"/>
          <w:u w:color="000000"/>
          <w:lang w:val="en-US"/>
        </w:rPr>
        <w:t xml:space="preserve">Mass </w:t>
      </w:r>
      <w:r>
        <w:rPr>
          <w:rFonts w:eastAsia="SimSun" w:cs="Calibri"/>
          <w:b/>
          <w:bCs/>
          <w:kern w:val="32"/>
          <w:sz w:val="28"/>
          <w:szCs w:val="28"/>
          <w:u w:color="000000"/>
          <w:lang w:val="en-US"/>
        </w:rPr>
        <w:t>S</w:t>
      </w:r>
      <w:r w:rsidRPr="00482D77">
        <w:rPr>
          <w:rFonts w:eastAsia="SimSun" w:cs="Calibri"/>
          <w:b/>
          <w:bCs/>
          <w:kern w:val="32"/>
          <w:sz w:val="28"/>
          <w:szCs w:val="28"/>
          <w:u w:color="000000"/>
          <w:lang w:val="en-US"/>
        </w:rPr>
        <w:t xml:space="preserve">pectrometric </w:t>
      </w:r>
      <w:r>
        <w:rPr>
          <w:rFonts w:eastAsia="SimSun" w:cs="Calibri"/>
          <w:b/>
          <w:bCs/>
          <w:kern w:val="32"/>
          <w:sz w:val="28"/>
          <w:szCs w:val="28"/>
          <w:u w:color="000000"/>
          <w:lang w:val="en-US"/>
        </w:rPr>
        <w:t>P</w:t>
      </w:r>
      <w:r w:rsidRPr="00482D77">
        <w:rPr>
          <w:rFonts w:eastAsia="SimSun" w:cs="Calibri"/>
          <w:b/>
          <w:bCs/>
          <w:kern w:val="32"/>
          <w:sz w:val="28"/>
          <w:szCs w:val="28"/>
          <w:u w:color="000000"/>
          <w:lang w:val="en-US"/>
        </w:rPr>
        <w:t xml:space="preserve">roteome </w:t>
      </w:r>
      <w:r>
        <w:rPr>
          <w:rFonts w:eastAsia="SimSun" w:cs="Calibri"/>
          <w:b/>
          <w:bCs/>
          <w:kern w:val="32"/>
          <w:sz w:val="28"/>
          <w:szCs w:val="28"/>
          <w:u w:color="000000"/>
          <w:lang w:val="en-US"/>
        </w:rPr>
        <w:t>P</w:t>
      </w:r>
      <w:r w:rsidRPr="00482D77">
        <w:rPr>
          <w:rFonts w:eastAsia="SimSun" w:cs="Calibri"/>
          <w:b/>
          <w:bCs/>
          <w:kern w:val="32"/>
          <w:sz w:val="28"/>
          <w:szCs w:val="28"/>
          <w:u w:color="000000"/>
          <w:lang w:val="en-US"/>
        </w:rPr>
        <w:t xml:space="preserve">rofiling </w:t>
      </w:r>
      <w:r>
        <w:rPr>
          <w:rFonts w:eastAsia="SimSun" w:cs="Calibri"/>
          <w:b/>
          <w:bCs/>
          <w:kern w:val="32"/>
          <w:sz w:val="28"/>
          <w:szCs w:val="28"/>
          <w:u w:color="000000"/>
          <w:lang w:val="en-US"/>
        </w:rPr>
        <w:t>U</w:t>
      </w:r>
      <w:r w:rsidRPr="00482D77">
        <w:rPr>
          <w:rFonts w:eastAsia="SimSun" w:cs="Calibri"/>
          <w:b/>
          <w:bCs/>
          <w:kern w:val="32"/>
          <w:sz w:val="28"/>
          <w:szCs w:val="28"/>
          <w:u w:color="000000"/>
          <w:lang w:val="en-US"/>
        </w:rPr>
        <w:t xml:space="preserve">sing a </w:t>
      </w:r>
      <w:r>
        <w:rPr>
          <w:rFonts w:eastAsia="SimSun" w:cs="Calibri"/>
          <w:b/>
          <w:bCs/>
          <w:kern w:val="32"/>
          <w:sz w:val="28"/>
          <w:szCs w:val="28"/>
          <w:u w:color="000000"/>
          <w:lang w:val="en-US"/>
        </w:rPr>
        <w:t>D</w:t>
      </w:r>
      <w:r w:rsidRPr="00482D77">
        <w:rPr>
          <w:rFonts w:eastAsia="SimSun" w:cs="Calibri"/>
          <w:b/>
          <w:bCs/>
          <w:kern w:val="32"/>
          <w:sz w:val="28"/>
          <w:szCs w:val="28"/>
          <w:u w:color="000000"/>
          <w:lang w:val="en-US"/>
        </w:rPr>
        <w:t xml:space="preserve">eep </w:t>
      </w:r>
      <w:r>
        <w:rPr>
          <w:rFonts w:eastAsia="SimSun" w:cs="Calibri"/>
          <w:b/>
          <w:bCs/>
          <w:kern w:val="32"/>
          <w:sz w:val="28"/>
          <w:szCs w:val="28"/>
          <w:u w:color="000000"/>
          <w:lang w:val="en-US"/>
        </w:rPr>
        <w:t xml:space="preserve">Spectral Library Reveals Homogenization of Right and Left Atrial </w:t>
      </w:r>
      <w:r w:rsidRPr="009C673C">
        <w:rPr>
          <w:rFonts w:eastAsia="SimSun" w:cs="Calibri"/>
          <w:b/>
          <w:bCs/>
          <w:kern w:val="32"/>
          <w:sz w:val="28"/>
          <w:szCs w:val="28"/>
          <w:u w:color="000000"/>
          <w:lang w:val="en-US"/>
        </w:rPr>
        <w:t>Proteomes</w:t>
      </w:r>
      <w:r>
        <w:rPr>
          <w:rFonts w:eastAsia="SimSun" w:cs="Calibri"/>
          <w:b/>
          <w:bCs/>
          <w:kern w:val="32"/>
          <w:sz w:val="28"/>
          <w:szCs w:val="28"/>
          <w:u w:color="000000"/>
          <w:lang w:val="en-US"/>
        </w:rPr>
        <w:t xml:space="preserve"> in</w:t>
      </w:r>
      <w:r w:rsidRPr="00603D10">
        <w:rPr>
          <w:rFonts w:eastAsia="SimSun" w:cs="Calibri"/>
          <w:b/>
          <w:bCs/>
          <w:kern w:val="32"/>
          <w:sz w:val="28"/>
          <w:szCs w:val="28"/>
          <w:u w:color="000000"/>
          <w:lang w:val="en-US"/>
        </w:rPr>
        <w:t xml:space="preserve"> </w:t>
      </w:r>
      <w:r>
        <w:rPr>
          <w:rFonts w:eastAsia="SimSun" w:cs="Calibri"/>
          <w:b/>
          <w:bCs/>
          <w:kern w:val="32"/>
          <w:sz w:val="28"/>
          <w:szCs w:val="28"/>
          <w:u w:color="000000"/>
          <w:lang w:val="en-US"/>
        </w:rPr>
        <w:t>P</w:t>
      </w:r>
      <w:r w:rsidRPr="00482D77">
        <w:rPr>
          <w:rFonts w:eastAsia="SimSun" w:cs="Calibri"/>
          <w:b/>
          <w:bCs/>
          <w:kern w:val="32"/>
          <w:sz w:val="28"/>
          <w:szCs w:val="28"/>
          <w:u w:color="000000"/>
          <w:lang w:val="en-US"/>
        </w:rPr>
        <w:t xml:space="preserve">ersistent </w:t>
      </w:r>
      <w:r>
        <w:rPr>
          <w:rFonts w:eastAsia="SimSun" w:cs="Calibri"/>
          <w:b/>
          <w:bCs/>
          <w:kern w:val="32"/>
          <w:sz w:val="28"/>
          <w:szCs w:val="28"/>
          <w:u w:color="000000"/>
          <w:lang w:val="en-US"/>
        </w:rPr>
        <w:t>A</w:t>
      </w:r>
      <w:r w:rsidRPr="00482D77">
        <w:rPr>
          <w:rFonts w:eastAsia="SimSun" w:cs="Calibri"/>
          <w:b/>
          <w:bCs/>
          <w:kern w:val="32"/>
          <w:sz w:val="28"/>
          <w:szCs w:val="28"/>
          <w:u w:color="000000"/>
          <w:lang w:val="en-US"/>
        </w:rPr>
        <w:t xml:space="preserve">trial </w:t>
      </w:r>
      <w:r>
        <w:rPr>
          <w:rFonts w:eastAsia="SimSun" w:cs="Calibri"/>
          <w:b/>
          <w:bCs/>
          <w:kern w:val="32"/>
          <w:sz w:val="28"/>
          <w:szCs w:val="28"/>
          <w:u w:color="000000"/>
          <w:lang w:val="en-US"/>
        </w:rPr>
        <w:t>F</w:t>
      </w:r>
      <w:r w:rsidRPr="00482D77">
        <w:rPr>
          <w:rFonts w:eastAsia="SimSun" w:cs="Calibri"/>
          <w:b/>
          <w:bCs/>
          <w:kern w:val="32"/>
          <w:sz w:val="28"/>
          <w:szCs w:val="28"/>
          <w:u w:color="000000"/>
          <w:lang w:val="en-US"/>
        </w:rPr>
        <w:t>ibrillation</w:t>
      </w:r>
      <w:r>
        <w:rPr>
          <w:rFonts w:eastAsia="SimSun" w:cs="Calibri"/>
          <w:b/>
          <w:bCs/>
          <w:kern w:val="32"/>
          <w:sz w:val="28"/>
          <w:szCs w:val="28"/>
          <w:u w:color="000000"/>
          <w:lang w:val="en-US"/>
        </w:rPr>
        <w:t xml:space="preserve"> Patients</w:t>
      </w:r>
      <w:bookmarkEnd w:id="0"/>
      <w:bookmarkEnd w:id="1"/>
      <w:bookmarkEnd w:id="2"/>
    </w:p>
    <w:p w14:paraId="0F183FC8" w14:textId="77777777" w:rsidR="008272E2" w:rsidRDefault="008272E2" w:rsidP="008272E2">
      <w:pPr>
        <w:spacing w:after="120" w:line="240" w:lineRule="auto"/>
        <w:jc w:val="both"/>
        <w:rPr>
          <w:rFonts w:eastAsia="SimSun" w:cs="Calibri"/>
          <w:sz w:val="24"/>
          <w:u w:color="000000"/>
          <w:lang w:val="en-US"/>
        </w:rPr>
      </w:pPr>
      <w:r w:rsidRPr="00E04650">
        <w:rPr>
          <w:rFonts w:eastAsia="SimSun" w:cs="Calibri"/>
          <w:sz w:val="24"/>
          <w:u w:color="000000"/>
          <w:lang w:val="en-US"/>
        </w:rPr>
        <w:t>Aiste Liutkute,</w:t>
      </w:r>
      <w:r w:rsidRPr="00E04650">
        <w:rPr>
          <w:rFonts w:eastAsia="SimSun" w:cs="Calibri"/>
          <w:sz w:val="24"/>
          <w:u w:color="000000"/>
          <w:vertAlign w:val="superscript"/>
          <w:lang w:val="en-US"/>
        </w:rPr>
        <w:t>1,2,3*</w:t>
      </w:r>
      <w:r w:rsidRPr="00E04650">
        <w:rPr>
          <w:rFonts w:eastAsia="SimSun" w:cs="Calibri"/>
          <w:sz w:val="24"/>
          <w:u w:color="000000"/>
          <w:lang w:val="en-US"/>
        </w:rPr>
        <w:t xml:space="preserve"> </w:t>
      </w:r>
      <w:proofErr w:type="spellStart"/>
      <w:r w:rsidRPr="00E04650">
        <w:rPr>
          <w:rFonts w:eastAsia="SimSun" w:cs="Calibri"/>
          <w:sz w:val="24"/>
          <w:u w:color="000000"/>
          <w:lang w:val="en-US"/>
        </w:rPr>
        <w:t>Takiy</w:t>
      </w:r>
      <w:proofErr w:type="spellEnd"/>
      <w:r w:rsidRPr="00E04650">
        <w:rPr>
          <w:rFonts w:eastAsia="SimSun" w:cs="Calibri"/>
          <w:sz w:val="24"/>
          <w:u w:color="000000"/>
          <w:lang w:val="en-US"/>
        </w:rPr>
        <w:t>-Eddine Berrandou,</w:t>
      </w:r>
      <w:r w:rsidRPr="00E04650">
        <w:rPr>
          <w:rFonts w:eastAsia="SimSun" w:cs="Calibri"/>
          <w:sz w:val="24"/>
          <w:u w:color="000000"/>
          <w:vertAlign w:val="superscript"/>
          <w:lang w:val="en-US"/>
        </w:rPr>
        <w:t>4*</w:t>
      </w:r>
      <w:r w:rsidRPr="00E04650">
        <w:rPr>
          <w:rFonts w:eastAsia="SimSun" w:cs="Calibri"/>
          <w:sz w:val="24"/>
          <w:u w:color="000000"/>
          <w:lang w:val="en-US"/>
        </w:rPr>
        <w:t xml:space="preserve"> Stefanie Kestel,</w:t>
      </w:r>
      <w:r w:rsidRPr="00E04650">
        <w:rPr>
          <w:rFonts w:eastAsia="SimSun" w:cs="Calibri"/>
          <w:sz w:val="24"/>
          <w:u w:color="000000"/>
          <w:vertAlign w:val="superscript"/>
          <w:lang w:val="en-US"/>
        </w:rPr>
        <w:t>1,2</w:t>
      </w:r>
      <w:r w:rsidRPr="00E04650">
        <w:rPr>
          <w:rFonts w:eastAsia="SimSun" w:cs="Calibri"/>
          <w:sz w:val="24"/>
          <w:u w:color="000000"/>
          <w:lang w:val="en-US"/>
        </w:rPr>
        <w:t xml:space="preserve"> Moritz Schnelle,</w:t>
      </w:r>
      <w:r w:rsidRPr="00E04650">
        <w:rPr>
          <w:rFonts w:eastAsia="SimSun" w:cs="Calibri"/>
          <w:sz w:val="24"/>
          <w:u w:color="000000"/>
          <w:vertAlign w:val="superscript"/>
          <w:lang w:val="en-US"/>
        </w:rPr>
        <w:t>5</w:t>
      </w:r>
      <w:r w:rsidRPr="00E04650">
        <w:rPr>
          <w:rFonts w:eastAsia="SimSun" w:cs="Calibri"/>
          <w:sz w:val="24"/>
          <w:u w:color="000000"/>
          <w:lang w:val="en-US"/>
        </w:rPr>
        <w:t xml:space="preserve"> Olga Dschun,</w:t>
      </w:r>
      <w:r w:rsidRPr="00E04650">
        <w:rPr>
          <w:rFonts w:eastAsia="SimSun" w:cs="Calibri"/>
          <w:sz w:val="24"/>
          <w:u w:color="000000"/>
          <w:vertAlign w:val="superscript"/>
          <w:lang w:val="en-US"/>
        </w:rPr>
        <w:t>6</w:t>
      </w:r>
      <w:r w:rsidRPr="00E04650">
        <w:rPr>
          <w:rFonts w:eastAsia="SimSun" w:cs="Calibri"/>
          <w:sz w:val="24"/>
          <w:u w:color="000000"/>
          <w:lang w:val="en-US"/>
        </w:rPr>
        <w:t xml:space="preserve"> Hugo Alejandro Amedei,</w:t>
      </w:r>
      <w:r w:rsidRPr="00E04650">
        <w:rPr>
          <w:rFonts w:eastAsia="SimSun" w:cs="Calibri"/>
          <w:sz w:val="24"/>
          <w:u w:color="000000"/>
          <w:vertAlign w:val="superscript"/>
          <w:lang w:val="en-US"/>
        </w:rPr>
        <w:t>5</w:t>
      </w:r>
      <w:r w:rsidRPr="00E04650">
        <w:rPr>
          <w:rFonts w:eastAsia="SimSun" w:cs="Calibri"/>
          <w:sz w:val="24"/>
          <w:u w:color="000000"/>
          <w:lang w:val="en-US"/>
        </w:rPr>
        <w:t xml:space="preserve"> Lisa Neuenroth,</w:t>
      </w:r>
      <w:r w:rsidRPr="00E04650">
        <w:rPr>
          <w:rFonts w:eastAsia="SimSun" w:cs="Calibri"/>
          <w:sz w:val="24"/>
          <w:u w:color="000000"/>
          <w:vertAlign w:val="superscript"/>
          <w:lang w:val="en-US"/>
        </w:rPr>
        <w:t>5,7</w:t>
      </w:r>
      <w:r w:rsidRPr="00E04650">
        <w:rPr>
          <w:rFonts w:eastAsia="SimSun" w:cs="Calibri"/>
          <w:sz w:val="24"/>
          <w:u w:color="000000"/>
          <w:lang w:val="en-US"/>
        </w:rPr>
        <w:t xml:space="preserve"> Eric Rytkin,</w:t>
      </w:r>
      <w:r w:rsidRPr="00E04650">
        <w:rPr>
          <w:rFonts w:eastAsia="SimSun" w:cs="Calibri"/>
          <w:sz w:val="24"/>
          <w:u w:color="000000"/>
          <w:vertAlign w:val="superscript"/>
          <w:lang w:val="en-US"/>
        </w:rPr>
        <w:t>8</w:t>
      </w:r>
      <w:r w:rsidRPr="00E04650">
        <w:rPr>
          <w:rFonts w:eastAsia="SimSun" w:cs="Calibri"/>
          <w:sz w:val="24"/>
          <w:u w:color="000000"/>
          <w:lang w:val="en-US"/>
        </w:rPr>
        <w:t xml:space="preserve"> Oksana Kyshynska,</w:t>
      </w:r>
      <w:r w:rsidRPr="00E04650">
        <w:rPr>
          <w:rFonts w:eastAsia="SimSun" w:cs="Calibri"/>
          <w:sz w:val="24"/>
          <w:u w:color="000000"/>
          <w:vertAlign w:val="superscript"/>
          <w:lang w:val="en-US"/>
        </w:rPr>
        <w:t>9</w:t>
      </w:r>
      <w:r w:rsidRPr="00E04650">
        <w:rPr>
          <w:rFonts w:eastAsia="SimSun" w:cs="Calibri"/>
          <w:sz w:val="24"/>
          <w:u w:color="000000"/>
          <w:lang w:val="en-US"/>
        </w:rPr>
        <w:t xml:space="preserve"> George Kensah,</w:t>
      </w:r>
      <w:r w:rsidRPr="00E04650">
        <w:rPr>
          <w:rFonts w:eastAsia="SimSun" w:cs="Calibri"/>
          <w:sz w:val="24"/>
          <w:u w:color="000000"/>
          <w:vertAlign w:val="superscript"/>
          <w:lang w:val="en-US"/>
        </w:rPr>
        <w:t>9</w:t>
      </w:r>
      <w:r w:rsidRPr="00E04650">
        <w:rPr>
          <w:rFonts w:eastAsia="SimSun" w:cs="Calibri"/>
          <w:sz w:val="24"/>
          <w:u w:color="000000"/>
          <w:lang w:val="en-US"/>
        </w:rPr>
        <w:t xml:space="preserve"> </w:t>
      </w:r>
      <w:proofErr w:type="spellStart"/>
      <w:r w:rsidRPr="00E04650">
        <w:rPr>
          <w:rFonts w:eastAsia="SimSun" w:cs="Calibri"/>
          <w:sz w:val="24"/>
          <w:u w:color="000000"/>
          <w:lang w:val="en-US"/>
        </w:rPr>
        <w:t>Aschraf</w:t>
      </w:r>
      <w:proofErr w:type="spellEnd"/>
      <w:r w:rsidRPr="00E04650">
        <w:rPr>
          <w:rFonts w:eastAsia="SimSun" w:cs="Calibri"/>
          <w:sz w:val="24"/>
          <w:u w:color="000000"/>
          <w:lang w:val="en-US"/>
        </w:rPr>
        <w:t xml:space="preserve"> El-Essawi,</w:t>
      </w:r>
      <w:r w:rsidRPr="00E04650">
        <w:rPr>
          <w:rFonts w:eastAsia="SimSun" w:cs="Calibri"/>
          <w:sz w:val="24"/>
          <w:u w:color="000000"/>
          <w:vertAlign w:val="superscript"/>
          <w:lang w:val="en-US"/>
        </w:rPr>
        <w:t>9</w:t>
      </w:r>
      <w:r w:rsidRPr="00E04650">
        <w:rPr>
          <w:rFonts w:eastAsia="SimSun" w:cs="Calibri"/>
          <w:sz w:val="24"/>
          <w:u w:color="000000"/>
          <w:lang w:val="en-US"/>
        </w:rPr>
        <w:t xml:space="preserve"> Ahmad Fawad Jebran,</w:t>
      </w:r>
      <w:r w:rsidRPr="00E04650">
        <w:rPr>
          <w:rFonts w:eastAsia="SimSun" w:cs="Calibri"/>
          <w:sz w:val="24"/>
          <w:u w:color="000000"/>
          <w:vertAlign w:val="superscript"/>
          <w:lang w:val="en-US"/>
        </w:rPr>
        <w:t>9</w:t>
      </w:r>
      <w:r w:rsidRPr="00E04650">
        <w:rPr>
          <w:rFonts w:eastAsia="SimSun" w:cs="Calibri"/>
          <w:sz w:val="24"/>
          <w:u w:color="000000"/>
          <w:lang w:val="en-US"/>
        </w:rPr>
        <w:t xml:space="preserve"> Bernhard C. Danner,</w:t>
      </w:r>
      <w:r w:rsidRPr="00E04650">
        <w:rPr>
          <w:rFonts w:eastAsia="SimSun" w:cs="Calibri"/>
          <w:sz w:val="24"/>
          <w:u w:color="000000"/>
          <w:vertAlign w:val="superscript"/>
          <w:lang w:val="en-US"/>
        </w:rPr>
        <w:t>9</w:t>
      </w:r>
      <w:r w:rsidRPr="00E04650">
        <w:rPr>
          <w:rFonts w:eastAsia="SimSun" w:cs="Calibri"/>
          <w:sz w:val="24"/>
          <w:u w:color="000000"/>
          <w:lang w:val="en-US"/>
        </w:rPr>
        <w:t xml:space="preserve"> Hassina Baraki,</w:t>
      </w:r>
      <w:r w:rsidRPr="00E04650">
        <w:rPr>
          <w:rFonts w:eastAsia="SimSun" w:cs="Calibri"/>
          <w:sz w:val="24"/>
          <w:u w:color="000000"/>
          <w:vertAlign w:val="superscript"/>
          <w:lang w:val="en-US"/>
        </w:rPr>
        <w:t>9</w:t>
      </w:r>
      <w:r w:rsidRPr="00E04650">
        <w:rPr>
          <w:rFonts w:eastAsia="SimSun" w:cs="Calibri"/>
          <w:sz w:val="24"/>
          <w:u w:color="000000"/>
          <w:lang w:val="en-US"/>
        </w:rPr>
        <w:t xml:space="preserve"> Ingo Kutschka,</w:t>
      </w:r>
      <w:r w:rsidRPr="00E04650">
        <w:rPr>
          <w:rFonts w:eastAsia="SimSun" w:cs="Calibri"/>
          <w:sz w:val="24"/>
          <w:u w:color="000000"/>
          <w:vertAlign w:val="superscript"/>
          <w:lang w:val="en-US"/>
        </w:rPr>
        <w:t>9</w:t>
      </w:r>
      <w:r w:rsidRPr="00E04650">
        <w:rPr>
          <w:rFonts w:eastAsia="SimSun" w:cs="Calibri"/>
          <w:sz w:val="24"/>
          <w:u w:color="000000"/>
          <w:lang w:val="en-US"/>
        </w:rPr>
        <w:t xml:space="preserve"> Felix Bremmer,</w:t>
      </w:r>
      <w:r w:rsidRPr="00E04650">
        <w:rPr>
          <w:rFonts w:eastAsia="SimSun" w:cs="Calibri"/>
          <w:sz w:val="24"/>
          <w:u w:color="000000"/>
          <w:vertAlign w:val="superscript"/>
          <w:lang w:val="en-US"/>
        </w:rPr>
        <w:t>6</w:t>
      </w:r>
      <w:r w:rsidRPr="00E04650">
        <w:rPr>
          <w:rFonts w:eastAsia="SimSun" w:cs="Calibri"/>
          <w:sz w:val="24"/>
          <w:u w:color="000000"/>
          <w:lang w:val="en-US"/>
        </w:rPr>
        <w:t xml:space="preserve"> Henning Urlaub,</w:t>
      </w:r>
      <w:r w:rsidRPr="00E04650">
        <w:rPr>
          <w:rFonts w:eastAsia="SimSun" w:cs="Calibri"/>
          <w:sz w:val="24"/>
          <w:u w:color="000000"/>
          <w:vertAlign w:val="superscript"/>
          <w:lang w:val="en-US"/>
        </w:rPr>
        <w:t>5,7</w:t>
      </w:r>
      <w:r w:rsidRPr="00E04650">
        <w:rPr>
          <w:rFonts w:eastAsia="SimSun" w:cs="Calibri"/>
          <w:sz w:val="24"/>
          <w:u w:color="000000"/>
          <w:lang w:val="en-US"/>
        </w:rPr>
        <w:t xml:space="preserve"> Constanze Schmidt,</w:t>
      </w:r>
      <w:r w:rsidRPr="00E04650">
        <w:rPr>
          <w:rFonts w:eastAsia="SimSun" w:cs="Calibri"/>
          <w:sz w:val="24"/>
          <w:u w:color="000000"/>
          <w:vertAlign w:val="superscript"/>
          <w:lang w:val="en-US"/>
        </w:rPr>
        <w:t>2,10,11,12</w:t>
      </w:r>
      <w:r w:rsidRPr="00E04650">
        <w:rPr>
          <w:rFonts w:eastAsia="SimSun" w:cs="Calibri"/>
          <w:sz w:val="24"/>
          <w:u w:color="000000"/>
          <w:lang w:val="en-US"/>
        </w:rPr>
        <w:t xml:space="preserve"> Nabila Bouatia-Naji,</w:t>
      </w:r>
      <w:r w:rsidRPr="00E04650">
        <w:rPr>
          <w:rFonts w:eastAsia="SimSun" w:cs="Calibri"/>
          <w:sz w:val="24"/>
          <w:u w:color="000000"/>
          <w:vertAlign w:val="superscript"/>
          <w:lang w:val="en-US"/>
        </w:rPr>
        <w:t>4</w:t>
      </w:r>
      <w:r w:rsidRPr="00E04650">
        <w:rPr>
          <w:rFonts w:eastAsia="SimSun" w:cs="Calibri"/>
          <w:sz w:val="24"/>
          <w:u w:color="000000"/>
          <w:lang w:val="en-US"/>
        </w:rPr>
        <w:t xml:space="preserve"> Igor R. Efimov,</w:t>
      </w:r>
      <w:r w:rsidRPr="00E04650">
        <w:rPr>
          <w:rFonts w:eastAsia="SimSun" w:cs="Calibri"/>
          <w:sz w:val="24"/>
          <w:u w:color="000000"/>
          <w:vertAlign w:val="superscript"/>
          <w:lang w:val="en-US"/>
        </w:rPr>
        <w:t>8,13,14</w:t>
      </w:r>
      <w:r w:rsidRPr="00E04650">
        <w:rPr>
          <w:rFonts w:eastAsia="SimSun" w:cs="Calibri"/>
          <w:sz w:val="24"/>
          <w:u w:color="000000"/>
          <w:lang w:val="en-US"/>
        </w:rPr>
        <w:t xml:space="preserve"> Bianca J. J. M. Brundel,</w:t>
      </w:r>
      <w:r w:rsidRPr="00E04650">
        <w:rPr>
          <w:rFonts w:eastAsia="SimSun" w:cs="Calibri"/>
          <w:sz w:val="24"/>
          <w:u w:color="000000"/>
          <w:vertAlign w:val="superscript"/>
          <w:lang w:val="en-US"/>
        </w:rPr>
        <w:t xml:space="preserve">15 </w:t>
      </w:r>
      <w:r w:rsidRPr="00E04650">
        <w:rPr>
          <w:rFonts w:eastAsia="SimSun" w:cs="Calibri"/>
          <w:sz w:val="24"/>
          <w:u w:color="000000"/>
          <w:lang w:val="en-US"/>
        </w:rPr>
        <w:t>Christof Lenz,</w:t>
      </w:r>
      <w:r w:rsidRPr="00E04650">
        <w:rPr>
          <w:rFonts w:eastAsia="SimSun" w:cs="Calibri"/>
          <w:sz w:val="24"/>
          <w:u w:color="000000"/>
          <w:vertAlign w:val="superscript"/>
          <w:lang w:val="en-US"/>
        </w:rPr>
        <w:t xml:space="preserve">2,3,5,7# </w:t>
      </w:r>
      <w:r w:rsidRPr="00E04650">
        <w:rPr>
          <w:rFonts w:eastAsia="SimSun" w:cs="Calibri"/>
          <w:sz w:val="24"/>
          <w:u w:color="000000"/>
          <w:lang w:val="en-US"/>
        </w:rPr>
        <w:t>Niels Voigt,</w:t>
      </w:r>
      <w:r w:rsidRPr="00E04650">
        <w:rPr>
          <w:rFonts w:eastAsia="SimSun" w:cs="Calibri"/>
          <w:sz w:val="24"/>
          <w:u w:color="000000"/>
          <w:vertAlign w:val="superscript"/>
          <w:lang w:val="en-US"/>
        </w:rPr>
        <w:t>1,2,3#</w:t>
      </w:r>
    </w:p>
    <w:p w14:paraId="30539D12" w14:textId="77777777" w:rsidR="008272E2" w:rsidRPr="00482D77" w:rsidRDefault="008272E2" w:rsidP="008272E2">
      <w:pPr>
        <w:widowControl w:val="0"/>
        <w:autoSpaceDE w:val="0"/>
        <w:autoSpaceDN w:val="0"/>
        <w:spacing w:after="40" w:line="240" w:lineRule="auto"/>
        <w:rPr>
          <w:rFonts w:eastAsia="SimSun" w:cs="Calibri"/>
          <w:sz w:val="20"/>
          <w:szCs w:val="20"/>
          <w:lang w:val="en-US" w:eastAsia="de-DE"/>
        </w:rPr>
      </w:pPr>
      <w:r w:rsidRPr="00482D77">
        <w:rPr>
          <w:rFonts w:eastAsia="SimSun" w:cs="Calibri"/>
          <w:sz w:val="20"/>
          <w:szCs w:val="20"/>
          <w:vertAlign w:val="superscript"/>
          <w:lang w:val="en-US" w:eastAsia="de-DE"/>
        </w:rPr>
        <w:t>1</w:t>
      </w:r>
      <w:r w:rsidRPr="00482D77">
        <w:rPr>
          <w:rFonts w:eastAsia="SimSun" w:cs="Calibri"/>
          <w:sz w:val="20"/>
          <w:szCs w:val="20"/>
          <w:lang w:val="en-US" w:eastAsia="de-DE"/>
        </w:rPr>
        <w:t>Institute of Pharmacology and Toxicology, University Medical Center Göttingen, Georg-August-University Göttingen, Germany</w:t>
      </w:r>
    </w:p>
    <w:p w14:paraId="12BD84F9" w14:textId="77777777" w:rsidR="008272E2" w:rsidRPr="00482D77" w:rsidRDefault="008272E2" w:rsidP="008272E2">
      <w:pPr>
        <w:widowControl w:val="0"/>
        <w:autoSpaceDE w:val="0"/>
        <w:autoSpaceDN w:val="0"/>
        <w:spacing w:after="40" w:line="240" w:lineRule="auto"/>
        <w:rPr>
          <w:rFonts w:eastAsia="SimSun" w:cs="Calibri"/>
          <w:sz w:val="20"/>
          <w:szCs w:val="20"/>
          <w:lang w:val="en-US" w:eastAsia="de-DE"/>
        </w:rPr>
      </w:pPr>
      <w:r w:rsidRPr="00482D77">
        <w:rPr>
          <w:rFonts w:eastAsia="SimSun" w:cs="Calibri"/>
          <w:sz w:val="20"/>
          <w:szCs w:val="20"/>
          <w:vertAlign w:val="superscript"/>
          <w:lang w:val="en-US" w:eastAsia="de-DE"/>
        </w:rPr>
        <w:t>2</w:t>
      </w:r>
      <w:r w:rsidRPr="00482D77">
        <w:rPr>
          <w:rFonts w:eastAsia="SimSun" w:cs="Calibri"/>
          <w:sz w:val="20"/>
          <w:szCs w:val="20"/>
          <w:lang w:val="en-US" w:eastAsia="de-DE"/>
        </w:rPr>
        <w:t>DZHK (German Center for Cardiovascular Research), Partner Site Lower Saxony, Germany</w:t>
      </w:r>
    </w:p>
    <w:p w14:paraId="0BA2F83C" w14:textId="77777777" w:rsidR="008272E2" w:rsidRDefault="008272E2" w:rsidP="008272E2">
      <w:pPr>
        <w:widowControl w:val="0"/>
        <w:autoSpaceDE w:val="0"/>
        <w:autoSpaceDN w:val="0"/>
        <w:spacing w:after="40" w:line="240" w:lineRule="auto"/>
        <w:rPr>
          <w:rFonts w:eastAsia="SimSun" w:cs="Calibri"/>
          <w:sz w:val="20"/>
          <w:szCs w:val="20"/>
          <w:lang w:val="en-US" w:eastAsia="de-DE"/>
        </w:rPr>
      </w:pPr>
      <w:r w:rsidRPr="00482D77">
        <w:rPr>
          <w:rFonts w:eastAsia="SimSun" w:cs="Calibri"/>
          <w:sz w:val="20"/>
          <w:szCs w:val="20"/>
          <w:vertAlign w:val="superscript"/>
          <w:lang w:val="en-US" w:eastAsia="de-DE"/>
        </w:rPr>
        <w:t>3</w:t>
      </w:r>
      <w:r w:rsidRPr="00482D77">
        <w:rPr>
          <w:rFonts w:eastAsia="SimSun" w:cs="Calibri"/>
          <w:sz w:val="20"/>
          <w:szCs w:val="20"/>
          <w:lang w:val="en-US" w:eastAsia="de-DE"/>
        </w:rPr>
        <w:t>Cluster of Excellence "Multiscale Bioimaging: From Molecular Machines to Networks of Excitable Cells" (</w:t>
      </w:r>
      <w:proofErr w:type="spellStart"/>
      <w:r w:rsidRPr="00482D77">
        <w:rPr>
          <w:rFonts w:eastAsia="SimSun" w:cs="Calibri"/>
          <w:sz w:val="20"/>
          <w:szCs w:val="20"/>
          <w:lang w:val="en-US" w:eastAsia="de-DE"/>
        </w:rPr>
        <w:t>MBExC</w:t>
      </w:r>
      <w:proofErr w:type="spellEnd"/>
      <w:r w:rsidRPr="00482D77">
        <w:rPr>
          <w:rFonts w:eastAsia="SimSun" w:cs="Calibri"/>
          <w:sz w:val="20"/>
          <w:szCs w:val="20"/>
          <w:lang w:val="en-US" w:eastAsia="de-DE"/>
        </w:rPr>
        <w:t>), Georg-August-University Göttingen, Germany</w:t>
      </w:r>
    </w:p>
    <w:p w14:paraId="0619DCFC" w14:textId="77777777" w:rsidR="008272E2" w:rsidRPr="00DD5E0B" w:rsidRDefault="008272E2" w:rsidP="008272E2">
      <w:pPr>
        <w:widowControl w:val="0"/>
        <w:autoSpaceDE w:val="0"/>
        <w:autoSpaceDN w:val="0"/>
        <w:spacing w:after="40" w:line="240" w:lineRule="auto"/>
        <w:rPr>
          <w:rFonts w:eastAsia="SimSun" w:cs="Calibri"/>
          <w:sz w:val="20"/>
          <w:szCs w:val="20"/>
          <w:lang w:val="en-US" w:eastAsia="de-DE"/>
        </w:rPr>
      </w:pPr>
      <w:r>
        <w:rPr>
          <w:rFonts w:eastAsia="SimSun" w:cs="Calibri"/>
          <w:sz w:val="20"/>
          <w:szCs w:val="20"/>
          <w:vertAlign w:val="superscript"/>
          <w:lang w:val="en-US" w:eastAsia="de-DE"/>
        </w:rPr>
        <w:t>4</w:t>
      </w:r>
      <w:r w:rsidRPr="00482D77">
        <w:rPr>
          <w:rFonts w:eastAsia="SimSun" w:cs="Calibri"/>
          <w:sz w:val="20"/>
          <w:szCs w:val="20"/>
          <w:lang w:val="en-US" w:eastAsia="de-DE"/>
        </w:rPr>
        <w:t>PARCC (Paris Cardiovascular Research Center), INSERM, University of Paris, Paris, France</w:t>
      </w:r>
    </w:p>
    <w:p w14:paraId="293F5217" w14:textId="77777777" w:rsidR="008272E2" w:rsidRDefault="008272E2" w:rsidP="008272E2">
      <w:pPr>
        <w:widowControl w:val="0"/>
        <w:autoSpaceDE w:val="0"/>
        <w:autoSpaceDN w:val="0"/>
        <w:spacing w:after="40" w:line="240" w:lineRule="auto"/>
        <w:rPr>
          <w:rFonts w:eastAsia="SimSun" w:cs="Calibri"/>
          <w:sz w:val="20"/>
          <w:szCs w:val="20"/>
          <w:lang w:val="en-US" w:eastAsia="de-DE"/>
        </w:rPr>
      </w:pPr>
      <w:r w:rsidRPr="00482D77">
        <w:rPr>
          <w:rFonts w:eastAsia="SimSun" w:cs="Calibri"/>
          <w:sz w:val="20"/>
          <w:szCs w:val="20"/>
          <w:vertAlign w:val="superscript"/>
          <w:lang w:val="en-US" w:eastAsia="de-DE"/>
        </w:rPr>
        <w:t>5</w:t>
      </w:r>
      <w:r w:rsidRPr="00482D77">
        <w:rPr>
          <w:rFonts w:eastAsia="SimSun" w:cs="Calibri"/>
          <w:sz w:val="20"/>
          <w:szCs w:val="20"/>
          <w:lang w:val="en-US" w:eastAsia="de-DE"/>
        </w:rPr>
        <w:t>Department of Clinical Chemistry, University Medical Center, Göttingen, Germany</w:t>
      </w:r>
    </w:p>
    <w:p w14:paraId="7D3D0C13" w14:textId="77777777" w:rsidR="008272E2" w:rsidRDefault="008272E2" w:rsidP="008272E2">
      <w:pPr>
        <w:widowControl w:val="0"/>
        <w:spacing w:after="0" w:line="240" w:lineRule="auto"/>
        <w:jc w:val="both"/>
        <w:rPr>
          <w:rFonts w:eastAsia="SimSun" w:cs="Arial"/>
          <w:sz w:val="20"/>
          <w:szCs w:val="20"/>
          <w:lang w:val="en-US" w:eastAsia="de-DE"/>
        </w:rPr>
      </w:pPr>
      <w:r>
        <w:rPr>
          <w:rFonts w:eastAsia="SimSun" w:cs="Arial"/>
          <w:sz w:val="20"/>
          <w:szCs w:val="20"/>
          <w:vertAlign w:val="superscript"/>
          <w:lang w:val="en-US" w:eastAsia="de-DE"/>
        </w:rPr>
        <w:t>6</w:t>
      </w:r>
      <w:r>
        <w:rPr>
          <w:rFonts w:eastAsia="SimSun" w:cs="Arial"/>
          <w:sz w:val="20"/>
          <w:szCs w:val="20"/>
          <w:lang w:val="en-US" w:eastAsia="de-DE"/>
        </w:rPr>
        <w:t>Institute of Pathology, University Medical Center, Göttingen, Germany</w:t>
      </w:r>
    </w:p>
    <w:p w14:paraId="2A053F4C" w14:textId="77777777" w:rsidR="008272E2" w:rsidRPr="00DD5E0B" w:rsidRDefault="008272E2" w:rsidP="008272E2">
      <w:pPr>
        <w:widowControl w:val="0"/>
        <w:spacing w:after="0" w:line="240" w:lineRule="auto"/>
        <w:jc w:val="both"/>
        <w:rPr>
          <w:rFonts w:eastAsia="SimSun" w:cs="Arial"/>
          <w:sz w:val="20"/>
          <w:szCs w:val="20"/>
          <w:lang w:val="en-US" w:eastAsia="de-DE"/>
        </w:rPr>
      </w:pPr>
      <w:r>
        <w:rPr>
          <w:rFonts w:eastAsia="SimSun" w:cs="Calibri"/>
          <w:sz w:val="20"/>
          <w:szCs w:val="20"/>
          <w:vertAlign w:val="superscript"/>
          <w:lang w:val="en-US" w:eastAsia="de-DE"/>
        </w:rPr>
        <w:t>7</w:t>
      </w:r>
      <w:r w:rsidRPr="00482D77">
        <w:rPr>
          <w:rFonts w:eastAsia="SimSun" w:cs="Calibri"/>
          <w:sz w:val="20"/>
          <w:szCs w:val="20"/>
          <w:lang w:val="en-US" w:eastAsia="de-DE"/>
        </w:rPr>
        <w:t xml:space="preserve">Bioanalytical Mass Spectrometry Group, Max Planck Institute for </w:t>
      </w:r>
      <w:r>
        <w:rPr>
          <w:rFonts w:eastAsia="SimSun" w:cs="Calibri"/>
          <w:sz w:val="20"/>
          <w:szCs w:val="20"/>
          <w:lang w:val="en-US" w:eastAsia="de-DE"/>
        </w:rPr>
        <w:t>Multidisciplinary Sciences, Göttingen, Germany</w:t>
      </w:r>
    </w:p>
    <w:p w14:paraId="265A0CF8" w14:textId="77777777" w:rsidR="008272E2" w:rsidRPr="007A23E0" w:rsidRDefault="008272E2" w:rsidP="008272E2">
      <w:pPr>
        <w:widowControl w:val="0"/>
        <w:autoSpaceDE w:val="0"/>
        <w:autoSpaceDN w:val="0"/>
        <w:spacing w:after="40" w:line="240" w:lineRule="auto"/>
        <w:rPr>
          <w:rFonts w:eastAsia="SimSun" w:cs="Calibri"/>
          <w:sz w:val="20"/>
          <w:szCs w:val="20"/>
          <w:lang w:val="en-US" w:eastAsia="de-DE"/>
        </w:rPr>
      </w:pPr>
      <w:r>
        <w:rPr>
          <w:rFonts w:eastAsia="SimSun" w:cs="Calibri"/>
          <w:sz w:val="20"/>
          <w:szCs w:val="20"/>
          <w:vertAlign w:val="superscript"/>
          <w:lang w:val="en-US" w:eastAsia="de-DE"/>
        </w:rPr>
        <w:t>8</w:t>
      </w:r>
      <w:r w:rsidRPr="007A23E0">
        <w:rPr>
          <w:rFonts w:eastAsia="SimSun" w:cs="Calibri"/>
          <w:sz w:val="20"/>
          <w:szCs w:val="20"/>
          <w:lang w:val="en-US" w:eastAsia="de-DE"/>
        </w:rPr>
        <w:t>Department of Biomedical Engineering, Northwestern University, Chicago, IL, USA</w:t>
      </w:r>
    </w:p>
    <w:p w14:paraId="67B04F12" w14:textId="77777777" w:rsidR="008272E2" w:rsidRDefault="008272E2" w:rsidP="008272E2">
      <w:pPr>
        <w:widowControl w:val="0"/>
        <w:autoSpaceDE w:val="0"/>
        <w:autoSpaceDN w:val="0"/>
        <w:spacing w:after="40" w:line="240" w:lineRule="auto"/>
        <w:rPr>
          <w:rFonts w:eastAsia="SimSun" w:cs="Calibri"/>
          <w:sz w:val="20"/>
          <w:szCs w:val="20"/>
          <w:vertAlign w:val="superscript"/>
          <w:lang w:val="en-US" w:eastAsia="de-DE"/>
        </w:rPr>
      </w:pPr>
      <w:r>
        <w:rPr>
          <w:rFonts w:eastAsia="SimSun" w:cs="Calibri"/>
          <w:sz w:val="20"/>
          <w:szCs w:val="20"/>
          <w:vertAlign w:val="superscript"/>
          <w:lang w:val="en-US" w:eastAsia="de-DE"/>
        </w:rPr>
        <w:t>9</w:t>
      </w:r>
      <w:r w:rsidRPr="00482D77">
        <w:rPr>
          <w:rFonts w:eastAsia="SimSun" w:cs="Calibri"/>
          <w:sz w:val="20"/>
          <w:szCs w:val="20"/>
          <w:lang w:val="en-US" w:eastAsia="de-DE"/>
        </w:rPr>
        <w:t>Department of Thoracic and Cardiovascular Surgery, University Medical</w:t>
      </w:r>
      <w:r>
        <w:rPr>
          <w:rFonts w:eastAsia="SimSun" w:cs="Calibri"/>
          <w:sz w:val="20"/>
          <w:szCs w:val="20"/>
          <w:lang w:val="en-US" w:eastAsia="de-DE"/>
        </w:rPr>
        <w:t xml:space="preserve"> Center Göttingen, Georg-August </w:t>
      </w:r>
      <w:r w:rsidRPr="00482D77">
        <w:rPr>
          <w:rFonts w:eastAsia="SimSun" w:cs="Calibri"/>
          <w:sz w:val="20"/>
          <w:szCs w:val="20"/>
          <w:lang w:val="en-US" w:eastAsia="de-DE"/>
        </w:rPr>
        <w:t>University Göttingen, Germany</w:t>
      </w:r>
      <w:r w:rsidRPr="00482D77">
        <w:rPr>
          <w:rFonts w:eastAsia="SimSun" w:cs="Calibri"/>
          <w:sz w:val="20"/>
          <w:szCs w:val="20"/>
          <w:vertAlign w:val="superscript"/>
          <w:lang w:val="en-US" w:eastAsia="de-DE"/>
        </w:rPr>
        <w:t xml:space="preserve"> </w:t>
      </w:r>
    </w:p>
    <w:p w14:paraId="71D66297" w14:textId="77777777" w:rsidR="008272E2" w:rsidRPr="00BC0321" w:rsidRDefault="008272E2" w:rsidP="008272E2">
      <w:pPr>
        <w:widowControl w:val="0"/>
        <w:autoSpaceDE w:val="0"/>
        <w:autoSpaceDN w:val="0"/>
        <w:spacing w:after="40" w:line="240" w:lineRule="auto"/>
        <w:rPr>
          <w:rFonts w:eastAsia="SimSun" w:cs="Calibri"/>
          <w:sz w:val="20"/>
          <w:szCs w:val="20"/>
          <w:lang w:val="en-US" w:eastAsia="de-DE"/>
        </w:rPr>
      </w:pPr>
      <w:r>
        <w:rPr>
          <w:rFonts w:eastAsia="SimSun" w:cs="Calibri"/>
          <w:sz w:val="20"/>
          <w:szCs w:val="20"/>
          <w:vertAlign w:val="superscript"/>
          <w:lang w:val="en-US" w:eastAsia="de-DE"/>
        </w:rPr>
        <w:t>10</w:t>
      </w:r>
      <w:r w:rsidRPr="00BC0321">
        <w:rPr>
          <w:rFonts w:eastAsia="SimSun" w:cs="Calibri"/>
          <w:sz w:val="20"/>
          <w:szCs w:val="20"/>
          <w:lang w:val="en-US" w:eastAsia="de-DE"/>
        </w:rPr>
        <w:t>Department of Cardiology, Universi</w:t>
      </w:r>
      <w:r>
        <w:rPr>
          <w:rFonts w:eastAsia="SimSun" w:cs="Calibri"/>
          <w:sz w:val="20"/>
          <w:szCs w:val="20"/>
          <w:lang w:val="en-US" w:eastAsia="de-DE"/>
        </w:rPr>
        <w:t>ty Hospital Heidelberg, Germany</w:t>
      </w:r>
    </w:p>
    <w:p w14:paraId="48914120" w14:textId="77777777" w:rsidR="008272E2" w:rsidRDefault="008272E2" w:rsidP="008272E2">
      <w:pPr>
        <w:widowControl w:val="0"/>
        <w:autoSpaceDE w:val="0"/>
        <w:autoSpaceDN w:val="0"/>
        <w:spacing w:after="40" w:line="240" w:lineRule="auto"/>
        <w:rPr>
          <w:rFonts w:eastAsia="SimSun" w:cs="Calibri"/>
          <w:sz w:val="20"/>
          <w:szCs w:val="20"/>
          <w:lang w:val="en-US" w:eastAsia="de-DE"/>
        </w:rPr>
      </w:pPr>
      <w:r>
        <w:rPr>
          <w:rFonts w:eastAsia="SimSun" w:cs="Calibri"/>
          <w:sz w:val="20"/>
          <w:szCs w:val="20"/>
          <w:vertAlign w:val="superscript"/>
          <w:lang w:val="en-US" w:eastAsia="de-DE"/>
        </w:rPr>
        <w:t>11</w:t>
      </w:r>
      <w:r w:rsidRPr="00BC0321">
        <w:rPr>
          <w:rFonts w:eastAsia="SimSun" w:cs="Calibri"/>
          <w:sz w:val="20"/>
          <w:szCs w:val="20"/>
          <w:lang w:val="en-US" w:eastAsia="de-DE"/>
        </w:rPr>
        <w:t>German Center for Cardiovascular Research Partner Site Heidelberg/</w:t>
      </w:r>
      <w:r>
        <w:rPr>
          <w:rFonts w:eastAsia="SimSun" w:cs="Calibri"/>
          <w:sz w:val="20"/>
          <w:szCs w:val="20"/>
          <w:lang w:val="en-US" w:eastAsia="de-DE"/>
        </w:rPr>
        <w:t>Mannheim, Heidelberg University, Germany</w:t>
      </w:r>
    </w:p>
    <w:p w14:paraId="077C55A6" w14:textId="77777777" w:rsidR="008272E2" w:rsidRPr="00BC0321" w:rsidRDefault="008272E2" w:rsidP="008272E2">
      <w:pPr>
        <w:widowControl w:val="0"/>
        <w:autoSpaceDE w:val="0"/>
        <w:autoSpaceDN w:val="0"/>
        <w:spacing w:after="40" w:line="240" w:lineRule="auto"/>
        <w:rPr>
          <w:rFonts w:eastAsia="SimSun" w:cs="Calibri"/>
          <w:sz w:val="20"/>
          <w:szCs w:val="20"/>
          <w:lang w:val="en-US" w:eastAsia="de-DE"/>
        </w:rPr>
      </w:pPr>
      <w:r>
        <w:rPr>
          <w:rFonts w:eastAsia="SimSun" w:cs="Calibri"/>
          <w:sz w:val="20"/>
          <w:szCs w:val="20"/>
          <w:vertAlign w:val="superscript"/>
          <w:lang w:val="en-US" w:eastAsia="de-DE"/>
        </w:rPr>
        <w:t>12</w:t>
      </w:r>
      <w:r w:rsidRPr="006E43B5">
        <w:rPr>
          <w:rFonts w:eastAsia="SimSun" w:cs="Calibri"/>
          <w:sz w:val="20"/>
          <w:szCs w:val="20"/>
          <w:lang w:val="en-US" w:eastAsia="de-DE"/>
        </w:rPr>
        <w:t>Department of Cardiology and Pneumology, University Medical Center Göttingen, Germany</w:t>
      </w:r>
    </w:p>
    <w:p w14:paraId="47EE7FCB" w14:textId="77777777" w:rsidR="008272E2" w:rsidRPr="00482D77" w:rsidRDefault="008272E2" w:rsidP="008272E2">
      <w:pPr>
        <w:widowControl w:val="0"/>
        <w:autoSpaceDE w:val="0"/>
        <w:autoSpaceDN w:val="0"/>
        <w:spacing w:after="40" w:line="240" w:lineRule="auto"/>
        <w:rPr>
          <w:rFonts w:eastAsia="SimSun" w:cs="Calibri"/>
          <w:sz w:val="20"/>
          <w:szCs w:val="20"/>
          <w:lang w:val="en-US" w:eastAsia="de-DE"/>
        </w:rPr>
      </w:pPr>
      <w:r>
        <w:rPr>
          <w:rFonts w:eastAsia="SimSun" w:cs="Calibri"/>
          <w:sz w:val="20"/>
          <w:szCs w:val="20"/>
          <w:vertAlign w:val="superscript"/>
          <w:lang w:val="en-US" w:eastAsia="de-DE"/>
        </w:rPr>
        <w:t>13</w:t>
      </w:r>
      <w:r w:rsidRPr="00482D77">
        <w:rPr>
          <w:rFonts w:eastAsia="SimSun" w:cs="Calibri"/>
          <w:sz w:val="20"/>
          <w:szCs w:val="20"/>
          <w:lang w:val="en-US" w:eastAsia="de-DE"/>
        </w:rPr>
        <w:t>Department of Biomedical Engineering, The George Washington University, Washington, DC, USA</w:t>
      </w:r>
    </w:p>
    <w:p w14:paraId="23A97B52" w14:textId="77777777" w:rsidR="008272E2" w:rsidRDefault="008272E2" w:rsidP="008272E2">
      <w:pPr>
        <w:widowControl w:val="0"/>
        <w:autoSpaceDE w:val="0"/>
        <w:autoSpaceDN w:val="0"/>
        <w:spacing w:after="40" w:line="240" w:lineRule="auto"/>
        <w:rPr>
          <w:rFonts w:eastAsia="SimSun" w:cs="Calibri"/>
          <w:sz w:val="20"/>
          <w:szCs w:val="20"/>
          <w:lang w:val="en-US" w:eastAsia="de-DE"/>
        </w:rPr>
      </w:pPr>
      <w:r>
        <w:rPr>
          <w:rFonts w:eastAsia="SimSun" w:cs="Calibri"/>
          <w:sz w:val="20"/>
          <w:szCs w:val="20"/>
          <w:vertAlign w:val="superscript"/>
          <w:lang w:val="en-US" w:eastAsia="de-DE"/>
        </w:rPr>
        <w:t>14</w:t>
      </w:r>
      <w:r w:rsidRPr="00482D77">
        <w:rPr>
          <w:rFonts w:eastAsia="SimSun" w:cs="Calibri"/>
          <w:sz w:val="20"/>
          <w:szCs w:val="20"/>
          <w:lang w:val="en-US" w:eastAsia="de-DE"/>
        </w:rPr>
        <w:t>Department of Medicine, Northwestern University, Chicago, IL, USA</w:t>
      </w:r>
    </w:p>
    <w:p w14:paraId="37ECB3D5" w14:textId="77777777" w:rsidR="008272E2" w:rsidRPr="005C568F" w:rsidRDefault="008272E2" w:rsidP="008272E2">
      <w:pPr>
        <w:widowControl w:val="0"/>
        <w:autoSpaceDE w:val="0"/>
        <w:autoSpaceDN w:val="0"/>
        <w:spacing w:after="240" w:line="240" w:lineRule="auto"/>
        <w:rPr>
          <w:rFonts w:eastAsia="SimSun" w:cs="Calibri"/>
          <w:sz w:val="20"/>
          <w:szCs w:val="20"/>
          <w:lang w:val="en-US" w:eastAsia="de-DE"/>
        </w:rPr>
      </w:pPr>
      <w:r w:rsidRPr="00305667">
        <w:rPr>
          <w:rFonts w:eastAsia="SimSun" w:cs="Calibri"/>
          <w:sz w:val="20"/>
          <w:szCs w:val="20"/>
          <w:vertAlign w:val="superscript"/>
          <w:lang w:val="en-US" w:eastAsia="de-DE"/>
        </w:rPr>
        <w:t>1</w:t>
      </w:r>
      <w:r>
        <w:rPr>
          <w:rFonts w:eastAsia="SimSun" w:cs="Calibri"/>
          <w:sz w:val="20"/>
          <w:szCs w:val="20"/>
          <w:vertAlign w:val="superscript"/>
          <w:lang w:val="en-US" w:eastAsia="de-DE"/>
        </w:rPr>
        <w:t>5</w:t>
      </w:r>
      <w:r w:rsidRPr="00305667">
        <w:rPr>
          <w:rFonts w:eastAsia="SimSun" w:cs="Calibri"/>
          <w:sz w:val="20"/>
          <w:szCs w:val="20"/>
          <w:lang w:val="en-US" w:eastAsia="de-DE"/>
        </w:rPr>
        <w:t xml:space="preserve">Department of Physiology, Amsterdam </w:t>
      </w:r>
      <w:r w:rsidRPr="00482D77">
        <w:rPr>
          <w:rFonts w:eastAsia="SimSun" w:cs="Calibri"/>
          <w:sz w:val="20"/>
          <w:szCs w:val="20"/>
          <w:lang w:val="en-US" w:eastAsia="de-DE"/>
        </w:rPr>
        <w:t>University Medical Center</w:t>
      </w:r>
      <w:r w:rsidRPr="00305667">
        <w:rPr>
          <w:rFonts w:eastAsia="SimSun" w:cs="Calibri"/>
          <w:sz w:val="20"/>
          <w:szCs w:val="20"/>
          <w:lang w:val="en-US" w:eastAsia="de-DE"/>
        </w:rPr>
        <w:t xml:space="preserve">, Vrije Universiteit Amsterdam, </w:t>
      </w:r>
      <w:r>
        <w:rPr>
          <w:rFonts w:eastAsia="SimSun" w:cs="Calibri"/>
          <w:sz w:val="20"/>
          <w:szCs w:val="20"/>
          <w:lang w:val="en-US" w:eastAsia="de-DE"/>
        </w:rPr>
        <w:t>The Netherlands</w:t>
      </w:r>
    </w:p>
    <w:p w14:paraId="367786B5" w14:textId="5E58B5F9" w:rsidR="004A4E01" w:rsidRPr="004A4E01" w:rsidRDefault="00665415" w:rsidP="004A4E01">
      <w:pPr>
        <w:spacing w:after="360" w:line="240" w:lineRule="auto"/>
        <w:rPr>
          <w:rFonts w:eastAsia="SimSun" w:cs="Calibri"/>
          <w:sz w:val="24"/>
          <w:u w:color="000000"/>
          <w:lang w:val="en-US"/>
        </w:rPr>
      </w:pPr>
      <w:r w:rsidRPr="00014714">
        <w:rPr>
          <w:rFonts w:eastAsia="SimSun" w:cs="Calibri"/>
          <w:b/>
          <w:sz w:val="24"/>
          <w:u w:color="000000"/>
          <w:lang w:val="en-US"/>
        </w:rPr>
        <w:t>Running title:</w:t>
      </w:r>
      <w:r w:rsidRPr="00014714">
        <w:rPr>
          <w:rFonts w:eastAsia="SimSun" w:cs="Calibri"/>
          <w:sz w:val="24"/>
          <w:u w:color="000000"/>
          <w:lang w:val="en-US"/>
        </w:rPr>
        <w:t xml:space="preserve"> </w:t>
      </w:r>
      <w:r>
        <w:rPr>
          <w:rFonts w:eastAsia="SimSun" w:cs="Calibri"/>
          <w:sz w:val="24"/>
          <w:u w:color="000000"/>
          <w:lang w:val="en-US"/>
        </w:rPr>
        <w:t>P</w:t>
      </w:r>
      <w:r w:rsidRPr="00305667">
        <w:rPr>
          <w:rFonts w:eastAsia="SimSun" w:cs="Calibri"/>
          <w:sz w:val="24"/>
          <w:u w:color="000000"/>
          <w:lang w:val="en-US"/>
        </w:rPr>
        <w:t xml:space="preserve">roteome profiling </w:t>
      </w:r>
      <w:r>
        <w:rPr>
          <w:rFonts w:eastAsia="SimSun" w:cs="Calibri"/>
          <w:sz w:val="24"/>
          <w:u w:color="000000"/>
          <w:lang w:val="en-US"/>
        </w:rPr>
        <w:t>of atria from patients with</w:t>
      </w:r>
      <w:r w:rsidRPr="00305667">
        <w:rPr>
          <w:rFonts w:eastAsia="SimSun" w:cs="Calibri"/>
          <w:sz w:val="24"/>
          <w:u w:color="000000"/>
          <w:lang w:val="en-US"/>
        </w:rPr>
        <w:t xml:space="preserve"> persistent atrial fibrillation</w:t>
      </w:r>
      <w:bookmarkEnd w:id="3"/>
    </w:p>
    <w:p w14:paraId="00F9C8EF" w14:textId="43109F19" w:rsidR="00665415" w:rsidRDefault="00665415" w:rsidP="00665415">
      <w:pPr>
        <w:spacing w:after="0" w:line="240" w:lineRule="auto"/>
        <w:jc w:val="both"/>
        <w:rPr>
          <w:rFonts w:eastAsia="SimSun" w:cs="Calibri"/>
          <w:b/>
          <w:sz w:val="24"/>
          <w:u w:color="000000"/>
          <w:lang w:val="en-US"/>
        </w:rPr>
      </w:pPr>
      <w:r w:rsidRPr="00E04650">
        <w:rPr>
          <w:rFonts w:eastAsia="SimSun" w:cs="Calibri"/>
          <w:b/>
          <w:sz w:val="24"/>
          <w:u w:color="000000"/>
          <w:vertAlign w:val="superscript"/>
          <w:lang w:val="en-US"/>
        </w:rPr>
        <w:t>*</w:t>
      </w:r>
      <w:r w:rsidRPr="00E04650">
        <w:rPr>
          <w:rFonts w:eastAsia="SimSun" w:cs="Calibri"/>
          <w:b/>
          <w:sz w:val="24"/>
          <w:u w:color="000000"/>
          <w:lang w:val="en-US"/>
        </w:rPr>
        <w:t>The first two authors contributed equally to this study.</w:t>
      </w:r>
    </w:p>
    <w:p w14:paraId="6FB467FB" w14:textId="77777777" w:rsidR="004A4E01" w:rsidRDefault="004A4E01" w:rsidP="00665415">
      <w:pPr>
        <w:spacing w:after="0" w:line="240" w:lineRule="auto"/>
        <w:jc w:val="both"/>
        <w:rPr>
          <w:rFonts w:eastAsia="SimSun" w:cs="Calibri"/>
          <w:b/>
          <w:sz w:val="24"/>
          <w:u w:color="000000"/>
          <w:lang w:val="en-US"/>
        </w:rPr>
      </w:pPr>
    </w:p>
    <w:p w14:paraId="099E35F8" w14:textId="77777777" w:rsidR="00665415" w:rsidRDefault="00665415" w:rsidP="00665415">
      <w:pPr>
        <w:spacing w:after="0" w:line="240" w:lineRule="auto"/>
        <w:jc w:val="both"/>
        <w:rPr>
          <w:rFonts w:eastAsia="SimSun" w:cs="Calibri"/>
          <w:sz w:val="24"/>
          <w:u w:color="000000"/>
          <w:lang w:val="en-US"/>
        </w:rPr>
      </w:pPr>
      <w:r w:rsidRPr="00494609">
        <w:rPr>
          <w:rFonts w:eastAsia="SimSun" w:cs="Calibri"/>
          <w:b/>
          <w:sz w:val="24"/>
          <w:u w:color="000000"/>
          <w:vertAlign w:val="superscript"/>
          <w:lang w:val="en-US"/>
        </w:rPr>
        <w:t>#</w:t>
      </w:r>
      <w:r>
        <w:rPr>
          <w:rFonts w:eastAsia="SimSun" w:cs="Calibri"/>
          <w:b/>
          <w:sz w:val="24"/>
          <w:u w:color="000000"/>
          <w:lang w:val="en-US"/>
        </w:rPr>
        <w:t>Co-c</w:t>
      </w:r>
      <w:r w:rsidRPr="00014714">
        <w:rPr>
          <w:rFonts w:eastAsia="SimSun" w:cs="Calibri"/>
          <w:b/>
          <w:sz w:val="24"/>
          <w:u w:color="000000"/>
          <w:lang w:val="en-US"/>
        </w:rPr>
        <w:t>orresponding Authors:</w:t>
      </w:r>
      <w:r w:rsidRPr="00014714">
        <w:rPr>
          <w:rFonts w:eastAsia="SimSun" w:cs="Calibri"/>
          <w:sz w:val="24"/>
          <w:u w:color="000000"/>
          <w:lang w:val="en-US"/>
        </w:rPr>
        <w:t xml:space="preserve"> </w:t>
      </w:r>
    </w:p>
    <w:p w14:paraId="158926F7" w14:textId="77777777" w:rsidR="00665415" w:rsidRPr="00014714" w:rsidRDefault="00665415" w:rsidP="00665415">
      <w:pPr>
        <w:spacing w:line="240" w:lineRule="auto"/>
        <w:jc w:val="both"/>
        <w:rPr>
          <w:rStyle w:val="Hyperlink"/>
          <w:rFonts w:eastAsia="SimSun" w:cs="Calibri"/>
          <w:sz w:val="24"/>
          <w:u w:color="000000"/>
          <w:lang w:val="en-US"/>
        </w:rPr>
      </w:pPr>
      <w:r w:rsidRPr="00014714">
        <w:rPr>
          <w:rFonts w:eastAsia="SimSun" w:cs="Calibri"/>
          <w:sz w:val="24"/>
          <w:u w:color="000000"/>
          <w:lang w:val="en-US"/>
        </w:rPr>
        <w:t>Niels Voigt, Institute of Pharmacology and Toxicology, University Medical Center Göttingen, Robert-Koch-</w:t>
      </w:r>
      <w:proofErr w:type="spellStart"/>
      <w:r w:rsidRPr="00014714">
        <w:rPr>
          <w:rFonts w:eastAsia="SimSun" w:cs="Calibri"/>
          <w:sz w:val="24"/>
          <w:u w:color="000000"/>
          <w:lang w:val="en-US"/>
        </w:rPr>
        <w:t>Straße</w:t>
      </w:r>
      <w:proofErr w:type="spellEnd"/>
      <w:r w:rsidRPr="00014714">
        <w:rPr>
          <w:rFonts w:eastAsia="SimSun" w:cs="Calibri"/>
          <w:sz w:val="24"/>
          <w:u w:color="000000"/>
          <w:lang w:val="en-US"/>
        </w:rPr>
        <w:t xml:space="preserve"> 40, 37075 Göttingen; Phone: 0049-551-39-65174, Fax: 0049-551-39-65169; E-mail: </w:t>
      </w:r>
      <w:hyperlink r:id="rId8" w:history="1">
        <w:r w:rsidRPr="00014714">
          <w:rPr>
            <w:rStyle w:val="Hyperlink"/>
            <w:rFonts w:eastAsia="SimSun" w:cs="Calibri"/>
            <w:sz w:val="24"/>
            <w:u w:color="000000"/>
            <w:lang w:val="en-US"/>
          </w:rPr>
          <w:t>niels.voigt@med.uni-goettingen.de</w:t>
        </w:r>
      </w:hyperlink>
    </w:p>
    <w:p w14:paraId="1BCA3EB4" w14:textId="36938569" w:rsidR="00D51E74" w:rsidRPr="00FC5EA7" w:rsidRDefault="00665415" w:rsidP="00D51E74">
      <w:pPr>
        <w:spacing w:line="240" w:lineRule="auto"/>
        <w:jc w:val="both"/>
        <w:rPr>
          <w:rFonts w:eastAsia="SimSun" w:cs="Calibri"/>
          <w:sz w:val="24"/>
          <w:szCs w:val="24"/>
          <w:u w:color="000000"/>
          <w:lang w:val="en-US"/>
        </w:rPr>
      </w:pPr>
      <w:r w:rsidRPr="00305667">
        <w:rPr>
          <w:rFonts w:eastAsia="SimSun" w:cs="Calibri"/>
          <w:sz w:val="24"/>
          <w:szCs w:val="24"/>
          <w:u w:color="000000"/>
          <w:lang w:val="en-US"/>
        </w:rPr>
        <w:t xml:space="preserve">Christof Lenz, </w:t>
      </w:r>
      <w:r w:rsidRPr="00FC5EA7">
        <w:rPr>
          <w:rFonts w:eastAsia="SimSun" w:cs="Calibri"/>
          <w:sz w:val="24"/>
          <w:szCs w:val="24"/>
          <w:u w:color="000000"/>
          <w:lang w:val="en-US"/>
        </w:rPr>
        <w:t>Department of Clinical Chemistry</w:t>
      </w:r>
      <w:r>
        <w:rPr>
          <w:rFonts w:eastAsia="SimSun" w:cs="Calibri"/>
          <w:sz w:val="24"/>
          <w:szCs w:val="24"/>
          <w:u w:color="000000"/>
          <w:lang w:val="en-US"/>
        </w:rPr>
        <w:t xml:space="preserve">, </w:t>
      </w:r>
      <w:r w:rsidRPr="00305667">
        <w:rPr>
          <w:rFonts w:eastAsia="SimSun" w:cs="Calibri"/>
          <w:sz w:val="24"/>
          <w:szCs w:val="24"/>
          <w:u w:color="000000"/>
          <w:lang w:val="en-US"/>
        </w:rPr>
        <w:t>University Medical Center Göttingen, Robert-Koch-</w:t>
      </w:r>
      <w:proofErr w:type="spellStart"/>
      <w:r w:rsidRPr="00305667">
        <w:rPr>
          <w:rFonts w:eastAsia="SimSun" w:cs="Calibri"/>
          <w:sz w:val="24"/>
          <w:szCs w:val="24"/>
          <w:u w:color="000000"/>
          <w:lang w:val="en-US"/>
        </w:rPr>
        <w:t>Straße</w:t>
      </w:r>
      <w:proofErr w:type="spellEnd"/>
      <w:r w:rsidRPr="00305667">
        <w:rPr>
          <w:rFonts w:eastAsia="SimSun" w:cs="Calibri"/>
          <w:sz w:val="24"/>
          <w:szCs w:val="24"/>
          <w:u w:color="000000"/>
          <w:lang w:val="en-US"/>
        </w:rPr>
        <w:t xml:space="preserve"> 40, 37075 Göttingen; Phone: </w:t>
      </w:r>
      <w:r>
        <w:rPr>
          <w:rFonts w:eastAsia="SimSun" w:cs="Calibri"/>
          <w:sz w:val="24"/>
          <w:szCs w:val="24"/>
          <w:u w:color="000000"/>
          <w:lang w:val="en-US"/>
        </w:rPr>
        <w:t>0049-551-</w:t>
      </w:r>
      <w:r w:rsidRPr="00305667">
        <w:rPr>
          <w:rFonts w:eastAsia="SimSun" w:cs="Calibri"/>
          <w:sz w:val="24"/>
          <w:szCs w:val="24"/>
          <w:u w:color="000000"/>
          <w:lang w:val="en-US"/>
        </w:rPr>
        <w:t>39</w:t>
      </w:r>
      <w:r>
        <w:rPr>
          <w:rFonts w:eastAsia="SimSun" w:cs="Calibri"/>
          <w:sz w:val="24"/>
          <w:szCs w:val="24"/>
          <w:u w:color="000000"/>
          <w:lang w:val="en-US"/>
        </w:rPr>
        <w:t>-</w:t>
      </w:r>
      <w:r w:rsidRPr="00305667">
        <w:rPr>
          <w:rFonts w:eastAsia="SimSun" w:cs="Calibri"/>
          <w:sz w:val="24"/>
          <w:szCs w:val="24"/>
          <w:u w:color="000000"/>
          <w:lang w:val="en-US"/>
        </w:rPr>
        <w:t>65192</w:t>
      </w:r>
      <w:r>
        <w:rPr>
          <w:rFonts w:eastAsia="SimSun" w:cs="Calibri"/>
          <w:sz w:val="24"/>
          <w:szCs w:val="24"/>
          <w:u w:color="000000"/>
          <w:lang w:val="en-US"/>
        </w:rPr>
        <w:t xml:space="preserve">, </w:t>
      </w:r>
      <w:r w:rsidRPr="00305667">
        <w:rPr>
          <w:rFonts w:eastAsia="SimSun" w:cs="Calibri"/>
          <w:sz w:val="24"/>
          <w:szCs w:val="24"/>
          <w:u w:color="000000"/>
          <w:lang w:val="en-US"/>
        </w:rPr>
        <w:t xml:space="preserve">Fax: 0049-551-39-65169; </w:t>
      </w:r>
      <w:r>
        <w:rPr>
          <w:rFonts w:eastAsia="SimSun" w:cs="Calibri"/>
          <w:sz w:val="24"/>
          <w:szCs w:val="24"/>
          <w:u w:color="000000"/>
          <w:lang w:val="en-US"/>
        </w:rPr>
        <w:t>B</w:t>
      </w:r>
      <w:r w:rsidRPr="00FC5EA7">
        <w:rPr>
          <w:rFonts w:eastAsia="SimSun" w:cs="Calibri"/>
          <w:sz w:val="24"/>
          <w:szCs w:val="24"/>
          <w:u w:color="000000"/>
          <w:lang w:val="en-US"/>
        </w:rPr>
        <w:t>ioanalytical Mass Spectrometry Group, Max Planck Institute for Multidi</w:t>
      </w:r>
      <w:r>
        <w:rPr>
          <w:rFonts w:eastAsia="SimSun" w:cs="Calibri"/>
          <w:sz w:val="24"/>
          <w:szCs w:val="24"/>
          <w:u w:color="000000"/>
          <w:lang w:val="en-US"/>
        </w:rPr>
        <w:t xml:space="preserve">sciplinary Sciences,  </w:t>
      </w:r>
      <w:r w:rsidRPr="00FC5EA7">
        <w:rPr>
          <w:rFonts w:eastAsia="SimSun" w:cs="Calibri"/>
          <w:sz w:val="24"/>
          <w:szCs w:val="24"/>
          <w:u w:color="000000"/>
          <w:lang w:val="en-US"/>
        </w:rPr>
        <w:t xml:space="preserve">Am </w:t>
      </w:r>
      <w:proofErr w:type="spellStart"/>
      <w:r w:rsidRPr="00FC5EA7">
        <w:rPr>
          <w:rFonts w:eastAsia="SimSun" w:cs="Calibri"/>
          <w:sz w:val="24"/>
          <w:szCs w:val="24"/>
          <w:u w:color="000000"/>
          <w:lang w:val="en-US"/>
        </w:rPr>
        <w:t>Fassberg</w:t>
      </w:r>
      <w:proofErr w:type="spellEnd"/>
      <w:r w:rsidRPr="00FC5EA7">
        <w:rPr>
          <w:rFonts w:eastAsia="SimSun" w:cs="Calibri"/>
          <w:sz w:val="24"/>
          <w:szCs w:val="24"/>
          <w:u w:color="000000"/>
          <w:lang w:val="en-US"/>
        </w:rPr>
        <w:t xml:space="preserve"> 11</w:t>
      </w:r>
      <w:r>
        <w:rPr>
          <w:rFonts w:eastAsia="SimSun" w:cs="Calibri"/>
          <w:sz w:val="24"/>
          <w:szCs w:val="24"/>
          <w:u w:color="000000"/>
          <w:lang w:val="en-US"/>
        </w:rPr>
        <w:t xml:space="preserve">, </w:t>
      </w:r>
      <w:r w:rsidRPr="00FC5EA7">
        <w:rPr>
          <w:rFonts w:eastAsia="SimSun" w:cs="Calibri"/>
          <w:sz w:val="24"/>
          <w:szCs w:val="24"/>
          <w:u w:color="000000"/>
          <w:lang w:val="en-US"/>
        </w:rPr>
        <w:t xml:space="preserve">37077 </w:t>
      </w:r>
      <w:r>
        <w:rPr>
          <w:rFonts w:eastAsia="SimSun" w:cs="Calibri"/>
          <w:sz w:val="24"/>
          <w:szCs w:val="24"/>
          <w:u w:color="000000"/>
          <w:lang w:val="en-US"/>
        </w:rPr>
        <w:t xml:space="preserve">Göttingen; </w:t>
      </w:r>
      <w:r w:rsidRPr="00014714">
        <w:rPr>
          <w:rFonts w:eastAsia="SimSun" w:cs="Calibri"/>
          <w:sz w:val="24"/>
          <w:u w:color="000000"/>
          <w:lang w:val="en-US"/>
        </w:rPr>
        <w:t xml:space="preserve">Phone: </w:t>
      </w:r>
      <w:r>
        <w:rPr>
          <w:rFonts w:eastAsia="SimSun" w:cs="Calibri"/>
          <w:sz w:val="24"/>
          <w:u w:color="000000"/>
          <w:lang w:val="en-US"/>
        </w:rPr>
        <w:t>0049-551-</w:t>
      </w:r>
      <w:r w:rsidRPr="00FC5EA7">
        <w:rPr>
          <w:rFonts w:eastAsia="SimSun" w:cs="Calibri"/>
          <w:sz w:val="24"/>
          <w:u w:color="000000"/>
          <w:lang w:val="en-US"/>
        </w:rPr>
        <w:t>39</w:t>
      </w:r>
      <w:r>
        <w:rPr>
          <w:rFonts w:eastAsia="SimSun" w:cs="Calibri"/>
          <w:sz w:val="24"/>
          <w:u w:color="000000"/>
          <w:lang w:val="en-US"/>
        </w:rPr>
        <w:t>-</w:t>
      </w:r>
      <w:r w:rsidRPr="00FC5EA7">
        <w:rPr>
          <w:rFonts w:eastAsia="SimSun" w:cs="Calibri"/>
          <w:sz w:val="24"/>
          <w:u w:color="000000"/>
          <w:lang w:val="en-US"/>
        </w:rPr>
        <w:t>12501</w:t>
      </w:r>
      <w:r>
        <w:rPr>
          <w:rFonts w:eastAsia="SimSun" w:cs="Calibri"/>
          <w:sz w:val="24"/>
          <w:szCs w:val="24"/>
          <w:u w:color="000000"/>
          <w:lang w:val="en-US"/>
        </w:rPr>
        <w:t xml:space="preserve">; </w:t>
      </w:r>
      <w:r w:rsidRPr="00305667">
        <w:rPr>
          <w:rFonts w:eastAsia="SimSun" w:cs="Calibri"/>
          <w:sz w:val="24"/>
          <w:szCs w:val="24"/>
          <w:u w:color="000000"/>
          <w:lang w:val="en-US"/>
        </w:rPr>
        <w:t xml:space="preserve">E-mail: </w:t>
      </w:r>
      <w:hyperlink r:id="rId9" w:history="1">
        <w:r w:rsidRPr="00305667">
          <w:rPr>
            <w:rStyle w:val="Hyperlink"/>
            <w:sz w:val="24"/>
            <w:szCs w:val="24"/>
          </w:rPr>
          <w:t>christof.lenz@med.uni-goettingen.de</w:t>
        </w:r>
      </w:hyperlink>
    </w:p>
    <w:bookmarkStart w:id="4" w:name="_Toc218605955" w:displacedByCustomXml="next"/>
    <w:sdt>
      <w:sdtPr>
        <w:rPr>
          <w:rFonts w:ascii="Calibri" w:eastAsiaTheme="minorHAnsi" w:hAnsi="Calibri" w:cstheme="minorBidi"/>
          <w:b w:val="0"/>
          <w:color w:val="auto"/>
          <w:sz w:val="22"/>
          <w:szCs w:val="22"/>
          <w:lang w:val="lt-LT"/>
        </w:rPr>
        <w:id w:val="-744026284"/>
        <w:docPartObj>
          <w:docPartGallery w:val="Table of Contents"/>
          <w:docPartUnique/>
        </w:docPartObj>
      </w:sdtPr>
      <w:sdtEndPr>
        <w:rPr>
          <w:bCs/>
        </w:rPr>
      </w:sdtEndPr>
      <w:sdtContent>
        <w:p w14:paraId="127D11B5" w14:textId="06837FAC" w:rsidR="00057838" w:rsidRPr="00057838" w:rsidRDefault="00DF170A" w:rsidP="00057838">
          <w:pPr>
            <w:pStyle w:val="Heading1"/>
            <w:rPr>
              <w:b w:val="0"/>
            </w:rPr>
          </w:pPr>
          <w:r>
            <w:rPr>
              <w:lang w:val="lt-LT"/>
            </w:rPr>
            <w:t xml:space="preserve">Table of </w:t>
          </w:r>
          <w:r w:rsidR="00F17ECA">
            <w:rPr>
              <w:lang w:val="lt-LT"/>
            </w:rPr>
            <w:t>C</w:t>
          </w:r>
          <w:r>
            <w:rPr>
              <w:lang w:val="lt-LT"/>
            </w:rPr>
            <w:t>ontents</w:t>
          </w:r>
          <w:bookmarkEnd w:id="4"/>
          <w:r>
            <w:rPr>
              <w:b w:val="0"/>
            </w:rPr>
            <w:fldChar w:fldCharType="begin"/>
          </w:r>
          <w:r>
            <w:instrText xml:space="preserve"> TOC \o "1-3" \h \z \u </w:instrText>
          </w:r>
          <w:r>
            <w:rPr>
              <w:b w:val="0"/>
            </w:rPr>
            <w:fldChar w:fldCharType="separate"/>
          </w:r>
        </w:p>
        <w:p w14:paraId="631CFFA1" w14:textId="61512C02" w:rsidR="00057838" w:rsidRDefault="00057838">
          <w:pPr>
            <w:pStyle w:val="TOC1"/>
            <w:tabs>
              <w:tab w:val="right" w:leader="dot" w:pos="9016"/>
            </w:tabs>
            <w:rPr>
              <w:rFonts w:asciiTheme="minorHAnsi" w:eastAsiaTheme="minorEastAsia" w:hAnsiTheme="minorHAnsi"/>
              <w:noProof/>
              <w:lang w:eastAsia="en-GB"/>
            </w:rPr>
          </w:pPr>
          <w:hyperlink w:anchor="_Toc218605955" w:history="1">
            <w:r w:rsidRPr="00C94BCA">
              <w:rPr>
                <w:rStyle w:val="Hyperlink"/>
                <w:noProof/>
                <w:lang w:val="lt-LT"/>
              </w:rPr>
              <w:t>Table of Contents</w:t>
            </w:r>
            <w:r>
              <w:rPr>
                <w:noProof/>
                <w:webHidden/>
              </w:rPr>
              <w:tab/>
            </w:r>
            <w:r>
              <w:rPr>
                <w:noProof/>
                <w:webHidden/>
              </w:rPr>
              <w:fldChar w:fldCharType="begin"/>
            </w:r>
            <w:r>
              <w:rPr>
                <w:noProof/>
                <w:webHidden/>
              </w:rPr>
              <w:instrText xml:space="preserve"> PAGEREF _Toc218605955 \h </w:instrText>
            </w:r>
            <w:r>
              <w:rPr>
                <w:noProof/>
                <w:webHidden/>
              </w:rPr>
            </w:r>
            <w:r>
              <w:rPr>
                <w:noProof/>
                <w:webHidden/>
              </w:rPr>
              <w:fldChar w:fldCharType="separate"/>
            </w:r>
            <w:r>
              <w:rPr>
                <w:noProof/>
                <w:webHidden/>
              </w:rPr>
              <w:t>2</w:t>
            </w:r>
            <w:r>
              <w:rPr>
                <w:noProof/>
                <w:webHidden/>
              </w:rPr>
              <w:fldChar w:fldCharType="end"/>
            </w:r>
          </w:hyperlink>
        </w:p>
        <w:p w14:paraId="6A87AA23" w14:textId="496202ED" w:rsidR="00057838" w:rsidRDefault="00057838">
          <w:pPr>
            <w:pStyle w:val="TOC1"/>
            <w:tabs>
              <w:tab w:val="right" w:leader="dot" w:pos="9016"/>
            </w:tabs>
            <w:rPr>
              <w:rFonts w:asciiTheme="minorHAnsi" w:eastAsiaTheme="minorEastAsia" w:hAnsiTheme="minorHAnsi"/>
              <w:noProof/>
              <w:lang w:eastAsia="en-GB"/>
            </w:rPr>
          </w:pPr>
          <w:hyperlink w:anchor="_Toc218605956" w:history="1">
            <w:r w:rsidRPr="00C94BCA">
              <w:rPr>
                <w:rStyle w:val="Hyperlink"/>
                <w:rFonts w:cs="Calibri"/>
                <w:noProof/>
                <w:lang w:val="en-US"/>
              </w:rPr>
              <w:t>Supplementary Methods</w:t>
            </w:r>
            <w:r>
              <w:rPr>
                <w:noProof/>
                <w:webHidden/>
              </w:rPr>
              <w:tab/>
            </w:r>
            <w:r>
              <w:rPr>
                <w:noProof/>
                <w:webHidden/>
              </w:rPr>
              <w:fldChar w:fldCharType="begin"/>
            </w:r>
            <w:r>
              <w:rPr>
                <w:noProof/>
                <w:webHidden/>
              </w:rPr>
              <w:instrText xml:space="preserve"> PAGEREF _Toc218605956 \h </w:instrText>
            </w:r>
            <w:r>
              <w:rPr>
                <w:noProof/>
                <w:webHidden/>
              </w:rPr>
            </w:r>
            <w:r>
              <w:rPr>
                <w:noProof/>
                <w:webHidden/>
              </w:rPr>
              <w:fldChar w:fldCharType="separate"/>
            </w:r>
            <w:r>
              <w:rPr>
                <w:noProof/>
                <w:webHidden/>
              </w:rPr>
              <w:t>3</w:t>
            </w:r>
            <w:r>
              <w:rPr>
                <w:noProof/>
                <w:webHidden/>
              </w:rPr>
              <w:fldChar w:fldCharType="end"/>
            </w:r>
          </w:hyperlink>
        </w:p>
        <w:p w14:paraId="7196FB12" w14:textId="406E0371" w:rsidR="00057838" w:rsidRDefault="00057838">
          <w:pPr>
            <w:pStyle w:val="TOC2"/>
            <w:tabs>
              <w:tab w:val="right" w:leader="dot" w:pos="9016"/>
            </w:tabs>
            <w:rPr>
              <w:rFonts w:asciiTheme="minorHAnsi" w:eastAsiaTheme="minorEastAsia" w:hAnsiTheme="minorHAnsi"/>
              <w:noProof/>
              <w:lang w:eastAsia="en-GB"/>
            </w:rPr>
          </w:pPr>
          <w:hyperlink w:anchor="_Toc218605957" w:history="1">
            <w:r w:rsidRPr="00C94BCA">
              <w:rPr>
                <w:rStyle w:val="Hyperlink"/>
                <w:noProof/>
                <w:lang w:val="en-US"/>
              </w:rPr>
              <w:t>Data Analysis</w:t>
            </w:r>
            <w:r>
              <w:rPr>
                <w:noProof/>
                <w:webHidden/>
              </w:rPr>
              <w:tab/>
            </w:r>
            <w:r>
              <w:rPr>
                <w:noProof/>
                <w:webHidden/>
              </w:rPr>
              <w:fldChar w:fldCharType="begin"/>
            </w:r>
            <w:r>
              <w:rPr>
                <w:noProof/>
                <w:webHidden/>
              </w:rPr>
              <w:instrText xml:space="preserve"> PAGEREF _Toc218605957 \h </w:instrText>
            </w:r>
            <w:r>
              <w:rPr>
                <w:noProof/>
                <w:webHidden/>
              </w:rPr>
            </w:r>
            <w:r>
              <w:rPr>
                <w:noProof/>
                <w:webHidden/>
              </w:rPr>
              <w:fldChar w:fldCharType="separate"/>
            </w:r>
            <w:r>
              <w:rPr>
                <w:noProof/>
                <w:webHidden/>
              </w:rPr>
              <w:t>3</w:t>
            </w:r>
            <w:r>
              <w:rPr>
                <w:noProof/>
                <w:webHidden/>
              </w:rPr>
              <w:fldChar w:fldCharType="end"/>
            </w:r>
          </w:hyperlink>
        </w:p>
        <w:p w14:paraId="482AD321" w14:textId="34D9970C" w:rsidR="00057838" w:rsidRDefault="00057838">
          <w:pPr>
            <w:pStyle w:val="TOC3"/>
            <w:tabs>
              <w:tab w:val="right" w:leader="dot" w:pos="9016"/>
            </w:tabs>
            <w:rPr>
              <w:rFonts w:asciiTheme="minorHAnsi" w:eastAsiaTheme="minorEastAsia" w:hAnsiTheme="minorHAnsi"/>
              <w:noProof/>
              <w:lang w:eastAsia="en-GB"/>
            </w:rPr>
          </w:pPr>
          <w:hyperlink w:anchor="_Toc218605958" w:history="1">
            <w:r w:rsidRPr="00C94BCA">
              <w:rPr>
                <w:rStyle w:val="Hyperlink"/>
                <w:noProof/>
              </w:rPr>
              <w:t>Outlier Identification</w:t>
            </w:r>
            <w:r>
              <w:rPr>
                <w:noProof/>
                <w:webHidden/>
              </w:rPr>
              <w:tab/>
            </w:r>
            <w:r>
              <w:rPr>
                <w:noProof/>
                <w:webHidden/>
              </w:rPr>
              <w:fldChar w:fldCharType="begin"/>
            </w:r>
            <w:r>
              <w:rPr>
                <w:noProof/>
                <w:webHidden/>
              </w:rPr>
              <w:instrText xml:space="preserve"> PAGEREF _Toc218605958 \h </w:instrText>
            </w:r>
            <w:r>
              <w:rPr>
                <w:noProof/>
                <w:webHidden/>
              </w:rPr>
            </w:r>
            <w:r>
              <w:rPr>
                <w:noProof/>
                <w:webHidden/>
              </w:rPr>
              <w:fldChar w:fldCharType="separate"/>
            </w:r>
            <w:r>
              <w:rPr>
                <w:noProof/>
                <w:webHidden/>
              </w:rPr>
              <w:t>3</w:t>
            </w:r>
            <w:r>
              <w:rPr>
                <w:noProof/>
                <w:webHidden/>
              </w:rPr>
              <w:fldChar w:fldCharType="end"/>
            </w:r>
          </w:hyperlink>
        </w:p>
        <w:p w14:paraId="2DF280EA" w14:textId="6A382A2F" w:rsidR="00057838" w:rsidRDefault="00057838">
          <w:pPr>
            <w:pStyle w:val="TOC3"/>
            <w:tabs>
              <w:tab w:val="right" w:leader="dot" w:pos="9016"/>
            </w:tabs>
            <w:rPr>
              <w:rFonts w:asciiTheme="minorHAnsi" w:eastAsiaTheme="minorEastAsia" w:hAnsiTheme="minorHAnsi"/>
              <w:noProof/>
              <w:lang w:eastAsia="en-GB"/>
            </w:rPr>
          </w:pPr>
          <w:hyperlink w:anchor="_Toc218605959" w:history="1">
            <w:r w:rsidRPr="00C94BCA">
              <w:rPr>
                <w:rStyle w:val="Hyperlink"/>
                <w:noProof/>
                <w:lang w:val="en-US"/>
              </w:rPr>
              <w:t>Differential Protein Expression Analysis</w:t>
            </w:r>
            <w:r>
              <w:rPr>
                <w:noProof/>
                <w:webHidden/>
              </w:rPr>
              <w:tab/>
            </w:r>
            <w:r>
              <w:rPr>
                <w:noProof/>
                <w:webHidden/>
              </w:rPr>
              <w:fldChar w:fldCharType="begin"/>
            </w:r>
            <w:r>
              <w:rPr>
                <w:noProof/>
                <w:webHidden/>
              </w:rPr>
              <w:instrText xml:space="preserve"> PAGEREF _Toc218605959 \h </w:instrText>
            </w:r>
            <w:r>
              <w:rPr>
                <w:noProof/>
                <w:webHidden/>
              </w:rPr>
            </w:r>
            <w:r>
              <w:rPr>
                <w:noProof/>
                <w:webHidden/>
              </w:rPr>
              <w:fldChar w:fldCharType="separate"/>
            </w:r>
            <w:r>
              <w:rPr>
                <w:noProof/>
                <w:webHidden/>
              </w:rPr>
              <w:t>3</w:t>
            </w:r>
            <w:r>
              <w:rPr>
                <w:noProof/>
                <w:webHidden/>
              </w:rPr>
              <w:fldChar w:fldCharType="end"/>
            </w:r>
          </w:hyperlink>
        </w:p>
        <w:p w14:paraId="4B486860" w14:textId="3CB2F5EC" w:rsidR="00057838" w:rsidRDefault="00057838">
          <w:pPr>
            <w:pStyle w:val="TOC3"/>
            <w:tabs>
              <w:tab w:val="right" w:leader="dot" w:pos="9016"/>
            </w:tabs>
            <w:rPr>
              <w:rFonts w:asciiTheme="minorHAnsi" w:eastAsiaTheme="minorEastAsia" w:hAnsiTheme="minorHAnsi"/>
              <w:noProof/>
              <w:lang w:eastAsia="en-GB"/>
            </w:rPr>
          </w:pPr>
          <w:hyperlink w:anchor="_Toc218605960" w:history="1">
            <w:r w:rsidRPr="00C94BCA">
              <w:rPr>
                <w:rStyle w:val="Hyperlink"/>
                <w:noProof/>
                <w:lang w:val="en-US"/>
              </w:rPr>
              <w:t>Overlap with GWAS</w:t>
            </w:r>
            <w:r>
              <w:rPr>
                <w:noProof/>
                <w:webHidden/>
              </w:rPr>
              <w:tab/>
            </w:r>
            <w:r>
              <w:rPr>
                <w:noProof/>
                <w:webHidden/>
              </w:rPr>
              <w:fldChar w:fldCharType="begin"/>
            </w:r>
            <w:r>
              <w:rPr>
                <w:noProof/>
                <w:webHidden/>
              </w:rPr>
              <w:instrText xml:space="preserve"> PAGEREF _Toc218605960 \h </w:instrText>
            </w:r>
            <w:r>
              <w:rPr>
                <w:noProof/>
                <w:webHidden/>
              </w:rPr>
            </w:r>
            <w:r>
              <w:rPr>
                <w:noProof/>
                <w:webHidden/>
              </w:rPr>
              <w:fldChar w:fldCharType="separate"/>
            </w:r>
            <w:r>
              <w:rPr>
                <w:noProof/>
                <w:webHidden/>
              </w:rPr>
              <w:t>4</w:t>
            </w:r>
            <w:r>
              <w:rPr>
                <w:noProof/>
                <w:webHidden/>
              </w:rPr>
              <w:fldChar w:fldCharType="end"/>
            </w:r>
          </w:hyperlink>
        </w:p>
        <w:p w14:paraId="33D8FCC6" w14:textId="6588427D" w:rsidR="00057838" w:rsidRDefault="00057838">
          <w:pPr>
            <w:pStyle w:val="TOC3"/>
            <w:tabs>
              <w:tab w:val="right" w:leader="dot" w:pos="9016"/>
            </w:tabs>
            <w:rPr>
              <w:rFonts w:asciiTheme="minorHAnsi" w:eastAsiaTheme="minorEastAsia" w:hAnsiTheme="minorHAnsi"/>
              <w:noProof/>
              <w:lang w:eastAsia="en-GB"/>
            </w:rPr>
          </w:pPr>
          <w:hyperlink w:anchor="_Toc218605961" w:history="1">
            <w:r w:rsidRPr="00C94BCA">
              <w:rPr>
                <w:rStyle w:val="Hyperlink"/>
                <w:noProof/>
                <w:lang w:val="en-US"/>
              </w:rPr>
              <w:t>Protein Mass Calculation and Subcellular Atlas Generation</w:t>
            </w:r>
            <w:r>
              <w:rPr>
                <w:noProof/>
                <w:webHidden/>
              </w:rPr>
              <w:tab/>
            </w:r>
            <w:r>
              <w:rPr>
                <w:noProof/>
                <w:webHidden/>
              </w:rPr>
              <w:fldChar w:fldCharType="begin"/>
            </w:r>
            <w:r>
              <w:rPr>
                <w:noProof/>
                <w:webHidden/>
              </w:rPr>
              <w:instrText xml:space="preserve"> PAGEREF _Toc218605961 \h </w:instrText>
            </w:r>
            <w:r>
              <w:rPr>
                <w:noProof/>
                <w:webHidden/>
              </w:rPr>
            </w:r>
            <w:r>
              <w:rPr>
                <w:noProof/>
                <w:webHidden/>
              </w:rPr>
              <w:fldChar w:fldCharType="separate"/>
            </w:r>
            <w:r>
              <w:rPr>
                <w:noProof/>
                <w:webHidden/>
              </w:rPr>
              <w:t>4</w:t>
            </w:r>
            <w:r>
              <w:rPr>
                <w:noProof/>
                <w:webHidden/>
              </w:rPr>
              <w:fldChar w:fldCharType="end"/>
            </w:r>
          </w:hyperlink>
        </w:p>
        <w:p w14:paraId="2665FFDD" w14:textId="11C8610F" w:rsidR="00057838" w:rsidRDefault="00057838">
          <w:pPr>
            <w:pStyle w:val="TOC3"/>
            <w:tabs>
              <w:tab w:val="right" w:leader="dot" w:pos="9016"/>
            </w:tabs>
            <w:rPr>
              <w:rFonts w:asciiTheme="minorHAnsi" w:eastAsiaTheme="minorEastAsia" w:hAnsiTheme="minorHAnsi"/>
              <w:noProof/>
              <w:lang w:eastAsia="en-GB"/>
            </w:rPr>
          </w:pPr>
          <w:hyperlink w:anchor="_Toc218605962" w:history="1">
            <w:r w:rsidRPr="00C94BCA">
              <w:rPr>
                <w:rStyle w:val="Hyperlink"/>
                <w:noProof/>
              </w:rPr>
              <w:t>Principal Component Analysis</w:t>
            </w:r>
            <w:r>
              <w:rPr>
                <w:noProof/>
                <w:webHidden/>
              </w:rPr>
              <w:tab/>
            </w:r>
            <w:r>
              <w:rPr>
                <w:noProof/>
                <w:webHidden/>
              </w:rPr>
              <w:fldChar w:fldCharType="begin"/>
            </w:r>
            <w:r>
              <w:rPr>
                <w:noProof/>
                <w:webHidden/>
              </w:rPr>
              <w:instrText xml:space="preserve"> PAGEREF _Toc218605962 \h </w:instrText>
            </w:r>
            <w:r>
              <w:rPr>
                <w:noProof/>
                <w:webHidden/>
              </w:rPr>
            </w:r>
            <w:r>
              <w:rPr>
                <w:noProof/>
                <w:webHidden/>
              </w:rPr>
              <w:fldChar w:fldCharType="separate"/>
            </w:r>
            <w:r>
              <w:rPr>
                <w:noProof/>
                <w:webHidden/>
              </w:rPr>
              <w:t>5</w:t>
            </w:r>
            <w:r>
              <w:rPr>
                <w:noProof/>
                <w:webHidden/>
              </w:rPr>
              <w:fldChar w:fldCharType="end"/>
            </w:r>
          </w:hyperlink>
        </w:p>
        <w:p w14:paraId="32158326" w14:textId="0BDCA1AA" w:rsidR="00057838" w:rsidRDefault="00057838">
          <w:pPr>
            <w:pStyle w:val="TOC3"/>
            <w:tabs>
              <w:tab w:val="right" w:leader="dot" w:pos="9016"/>
            </w:tabs>
            <w:rPr>
              <w:rFonts w:asciiTheme="minorHAnsi" w:eastAsiaTheme="minorEastAsia" w:hAnsiTheme="minorHAnsi"/>
              <w:noProof/>
              <w:lang w:eastAsia="en-GB"/>
            </w:rPr>
          </w:pPr>
          <w:hyperlink w:anchor="_Toc218605963" w:history="1">
            <w:r w:rsidRPr="00C94BCA">
              <w:rPr>
                <w:rStyle w:val="Hyperlink"/>
                <w:noProof/>
              </w:rPr>
              <w:t>Volcano Plot Analysis</w:t>
            </w:r>
            <w:r>
              <w:rPr>
                <w:noProof/>
                <w:webHidden/>
              </w:rPr>
              <w:tab/>
            </w:r>
            <w:r>
              <w:rPr>
                <w:noProof/>
                <w:webHidden/>
              </w:rPr>
              <w:fldChar w:fldCharType="begin"/>
            </w:r>
            <w:r>
              <w:rPr>
                <w:noProof/>
                <w:webHidden/>
              </w:rPr>
              <w:instrText xml:space="preserve"> PAGEREF _Toc218605963 \h </w:instrText>
            </w:r>
            <w:r>
              <w:rPr>
                <w:noProof/>
                <w:webHidden/>
              </w:rPr>
            </w:r>
            <w:r>
              <w:rPr>
                <w:noProof/>
                <w:webHidden/>
              </w:rPr>
              <w:fldChar w:fldCharType="separate"/>
            </w:r>
            <w:r>
              <w:rPr>
                <w:noProof/>
                <w:webHidden/>
              </w:rPr>
              <w:t>5</w:t>
            </w:r>
            <w:r>
              <w:rPr>
                <w:noProof/>
                <w:webHidden/>
              </w:rPr>
              <w:fldChar w:fldCharType="end"/>
            </w:r>
          </w:hyperlink>
        </w:p>
        <w:p w14:paraId="7E5515AD" w14:textId="64AB0E04" w:rsidR="00057838" w:rsidRDefault="00057838">
          <w:pPr>
            <w:pStyle w:val="TOC3"/>
            <w:tabs>
              <w:tab w:val="right" w:leader="dot" w:pos="9016"/>
            </w:tabs>
            <w:rPr>
              <w:rFonts w:asciiTheme="minorHAnsi" w:eastAsiaTheme="minorEastAsia" w:hAnsiTheme="minorHAnsi"/>
              <w:noProof/>
              <w:lang w:eastAsia="en-GB"/>
            </w:rPr>
          </w:pPr>
          <w:hyperlink w:anchor="_Toc218605964" w:history="1">
            <w:r w:rsidRPr="00C94BCA">
              <w:rPr>
                <w:rStyle w:val="Hyperlink"/>
                <w:noProof/>
                <w:lang w:val="en-US"/>
              </w:rPr>
              <w:t>Enrichment Analysis</w:t>
            </w:r>
            <w:r>
              <w:rPr>
                <w:noProof/>
                <w:webHidden/>
              </w:rPr>
              <w:tab/>
            </w:r>
            <w:r>
              <w:rPr>
                <w:noProof/>
                <w:webHidden/>
              </w:rPr>
              <w:fldChar w:fldCharType="begin"/>
            </w:r>
            <w:r>
              <w:rPr>
                <w:noProof/>
                <w:webHidden/>
              </w:rPr>
              <w:instrText xml:space="preserve"> PAGEREF _Toc218605964 \h </w:instrText>
            </w:r>
            <w:r>
              <w:rPr>
                <w:noProof/>
                <w:webHidden/>
              </w:rPr>
            </w:r>
            <w:r>
              <w:rPr>
                <w:noProof/>
                <w:webHidden/>
              </w:rPr>
              <w:fldChar w:fldCharType="separate"/>
            </w:r>
            <w:r>
              <w:rPr>
                <w:noProof/>
                <w:webHidden/>
              </w:rPr>
              <w:t>5</w:t>
            </w:r>
            <w:r>
              <w:rPr>
                <w:noProof/>
                <w:webHidden/>
              </w:rPr>
              <w:fldChar w:fldCharType="end"/>
            </w:r>
          </w:hyperlink>
        </w:p>
        <w:p w14:paraId="212D9BFD" w14:textId="785997A4" w:rsidR="00057838" w:rsidRDefault="00057838">
          <w:pPr>
            <w:pStyle w:val="TOC3"/>
            <w:tabs>
              <w:tab w:val="right" w:leader="dot" w:pos="9016"/>
            </w:tabs>
            <w:rPr>
              <w:rFonts w:asciiTheme="minorHAnsi" w:eastAsiaTheme="minorEastAsia" w:hAnsiTheme="minorHAnsi"/>
              <w:noProof/>
              <w:lang w:eastAsia="en-GB"/>
            </w:rPr>
          </w:pPr>
          <w:hyperlink w:anchor="_Toc218605965" w:history="1">
            <w:r w:rsidRPr="00C94BCA">
              <w:rPr>
                <w:rStyle w:val="Hyperlink"/>
                <w:noProof/>
              </w:rPr>
              <w:t>Protein Association Networks</w:t>
            </w:r>
            <w:r>
              <w:rPr>
                <w:noProof/>
                <w:webHidden/>
              </w:rPr>
              <w:tab/>
            </w:r>
            <w:r>
              <w:rPr>
                <w:noProof/>
                <w:webHidden/>
              </w:rPr>
              <w:fldChar w:fldCharType="begin"/>
            </w:r>
            <w:r>
              <w:rPr>
                <w:noProof/>
                <w:webHidden/>
              </w:rPr>
              <w:instrText xml:space="preserve"> PAGEREF _Toc218605965 \h </w:instrText>
            </w:r>
            <w:r>
              <w:rPr>
                <w:noProof/>
                <w:webHidden/>
              </w:rPr>
            </w:r>
            <w:r>
              <w:rPr>
                <w:noProof/>
                <w:webHidden/>
              </w:rPr>
              <w:fldChar w:fldCharType="separate"/>
            </w:r>
            <w:r>
              <w:rPr>
                <w:noProof/>
                <w:webHidden/>
              </w:rPr>
              <w:t>5</w:t>
            </w:r>
            <w:r>
              <w:rPr>
                <w:noProof/>
                <w:webHidden/>
              </w:rPr>
              <w:fldChar w:fldCharType="end"/>
            </w:r>
          </w:hyperlink>
        </w:p>
        <w:p w14:paraId="6DC6026A" w14:textId="1462F6EC" w:rsidR="00057838" w:rsidRDefault="00057838">
          <w:pPr>
            <w:pStyle w:val="TOC3"/>
            <w:tabs>
              <w:tab w:val="right" w:leader="dot" w:pos="9016"/>
            </w:tabs>
            <w:rPr>
              <w:rFonts w:asciiTheme="minorHAnsi" w:eastAsiaTheme="minorEastAsia" w:hAnsiTheme="minorHAnsi"/>
              <w:noProof/>
              <w:lang w:eastAsia="en-GB"/>
            </w:rPr>
          </w:pPr>
          <w:hyperlink w:anchor="_Toc218605966" w:history="1">
            <w:r w:rsidRPr="00C94BCA">
              <w:rPr>
                <w:rStyle w:val="Hyperlink"/>
                <w:noProof/>
              </w:rPr>
              <w:t>LV-HF (DCM) Dataset Reprocessing</w:t>
            </w:r>
            <w:r>
              <w:rPr>
                <w:noProof/>
                <w:webHidden/>
              </w:rPr>
              <w:tab/>
            </w:r>
            <w:r>
              <w:rPr>
                <w:noProof/>
                <w:webHidden/>
              </w:rPr>
              <w:fldChar w:fldCharType="begin"/>
            </w:r>
            <w:r>
              <w:rPr>
                <w:noProof/>
                <w:webHidden/>
              </w:rPr>
              <w:instrText xml:space="preserve"> PAGEREF _Toc218605966 \h </w:instrText>
            </w:r>
            <w:r>
              <w:rPr>
                <w:noProof/>
                <w:webHidden/>
              </w:rPr>
            </w:r>
            <w:r>
              <w:rPr>
                <w:noProof/>
                <w:webHidden/>
              </w:rPr>
              <w:fldChar w:fldCharType="separate"/>
            </w:r>
            <w:r>
              <w:rPr>
                <w:noProof/>
                <w:webHidden/>
              </w:rPr>
              <w:t>6</w:t>
            </w:r>
            <w:r>
              <w:rPr>
                <w:noProof/>
                <w:webHidden/>
              </w:rPr>
              <w:fldChar w:fldCharType="end"/>
            </w:r>
          </w:hyperlink>
        </w:p>
        <w:p w14:paraId="60577D9D" w14:textId="7B706319" w:rsidR="00057838" w:rsidRDefault="00057838">
          <w:pPr>
            <w:pStyle w:val="TOC2"/>
            <w:tabs>
              <w:tab w:val="right" w:leader="dot" w:pos="9016"/>
            </w:tabs>
            <w:rPr>
              <w:rFonts w:asciiTheme="minorHAnsi" w:eastAsiaTheme="minorEastAsia" w:hAnsiTheme="minorHAnsi"/>
              <w:noProof/>
              <w:lang w:eastAsia="en-GB"/>
            </w:rPr>
          </w:pPr>
          <w:hyperlink w:anchor="_Toc218605967" w:history="1">
            <w:r w:rsidRPr="00C94BCA">
              <w:rPr>
                <w:rStyle w:val="Hyperlink"/>
                <w:noProof/>
              </w:rPr>
              <w:t>Biochemical Studies</w:t>
            </w:r>
            <w:r>
              <w:rPr>
                <w:noProof/>
                <w:webHidden/>
              </w:rPr>
              <w:tab/>
            </w:r>
            <w:r>
              <w:rPr>
                <w:noProof/>
                <w:webHidden/>
              </w:rPr>
              <w:fldChar w:fldCharType="begin"/>
            </w:r>
            <w:r>
              <w:rPr>
                <w:noProof/>
                <w:webHidden/>
              </w:rPr>
              <w:instrText xml:space="preserve"> PAGEREF _Toc218605967 \h </w:instrText>
            </w:r>
            <w:r>
              <w:rPr>
                <w:noProof/>
                <w:webHidden/>
              </w:rPr>
            </w:r>
            <w:r>
              <w:rPr>
                <w:noProof/>
                <w:webHidden/>
              </w:rPr>
              <w:fldChar w:fldCharType="separate"/>
            </w:r>
            <w:r>
              <w:rPr>
                <w:noProof/>
                <w:webHidden/>
              </w:rPr>
              <w:t>6</w:t>
            </w:r>
            <w:r>
              <w:rPr>
                <w:noProof/>
                <w:webHidden/>
              </w:rPr>
              <w:fldChar w:fldCharType="end"/>
            </w:r>
          </w:hyperlink>
        </w:p>
        <w:p w14:paraId="177AD976" w14:textId="490E7EBB" w:rsidR="00057838" w:rsidRDefault="00057838">
          <w:pPr>
            <w:pStyle w:val="TOC1"/>
            <w:tabs>
              <w:tab w:val="right" w:leader="dot" w:pos="9016"/>
            </w:tabs>
            <w:rPr>
              <w:rFonts w:asciiTheme="minorHAnsi" w:eastAsiaTheme="minorEastAsia" w:hAnsiTheme="minorHAnsi"/>
              <w:noProof/>
              <w:lang w:eastAsia="en-GB"/>
            </w:rPr>
          </w:pPr>
          <w:hyperlink w:anchor="_Toc218605968" w:history="1">
            <w:r w:rsidRPr="00C94BCA">
              <w:rPr>
                <w:rStyle w:val="Hyperlink"/>
                <w:rFonts w:cs="Calibri"/>
                <w:noProof/>
                <w:lang w:val="en-US"/>
              </w:rPr>
              <w:t>Supplemental Tables</w:t>
            </w:r>
            <w:r>
              <w:rPr>
                <w:noProof/>
                <w:webHidden/>
              </w:rPr>
              <w:tab/>
            </w:r>
            <w:r>
              <w:rPr>
                <w:noProof/>
                <w:webHidden/>
              </w:rPr>
              <w:fldChar w:fldCharType="begin"/>
            </w:r>
            <w:r>
              <w:rPr>
                <w:noProof/>
                <w:webHidden/>
              </w:rPr>
              <w:instrText xml:space="preserve"> PAGEREF _Toc218605968 \h </w:instrText>
            </w:r>
            <w:r>
              <w:rPr>
                <w:noProof/>
                <w:webHidden/>
              </w:rPr>
            </w:r>
            <w:r>
              <w:rPr>
                <w:noProof/>
                <w:webHidden/>
              </w:rPr>
              <w:fldChar w:fldCharType="separate"/>
            </w:r>
            <w:r>
              <w:rPr>
                <w:noProof/>
                <w:webHidden/>
              </w:rPr>
              <w:t>8</w:t>
            </w:r>
            <w:r>
              <w:rPr>
                <w:noProof/>
                <w:webHidden/>
              </w:rPr>
              <w:fldChar w:fldCharType="end"/>
            </w:r>
          </w:hyperlink>
        </w:p>
        <w:p w14:paraId="5EF54D25" w14:textId="6416D0F8" w:rsidR="00057838" w:rsidRDefault="00057838">
          <w:pPr>
            <w:pStyle w:val="TOC1"/>
            <w:tabs>
              <w:tab w:val="right" w:leader="dot" w:pos="9016"/>
            </w:tabs>
            <w:rPr>
              <w:rFonts w:asciiTheme="minorHAnsi" w:eastAsiaTheme="minorEastAsia" w:hAnsiTheme="minorHAnsi"/>
              <w:noProof/>
              <w:lang w:eastAsia="en-GB"/>
            </w:rPr>
          </w:pPr>
          <w:hyperlink w:anchor="_Toc218605969" w:history="1">
            <w:r w:rsidRPr="00C94BCA">
              <w:rPr>
                <w:rStyle w:val="Hyperlink"/>
                <w:rFonts w:cs="Calibri"/>
                <w:noProof/>
                <w:lang w:val="en-US"/>
              </w:rPr>
              <w:t>Supplemental Results</w:t>
            </w:r>
            <w:r>
              <w:rPr>
                <w:noProof/>
                <w:webHidden/>
              </w:rPr>
              <w:tab/>
            </w:r>
            <w:r>
              <w:rPr>
                <w:noProof/>
                <w:webHidden/>
              </w:rPr>
              <w:fldChar w:fldCharType="begin"/>
            </w:r>
            <w:r>
              <w:rPr>
                <w:noProof/>
                <w:webHidden/>
              </w:rPr>
              <w:instrText xml:space="preserve"> PAGEREF _Toc218605969 \h </w:instrText>
            </w:r>
            <w:r>
              <w:rPr>
                <w:noProof/>
                <w:webHidden/>
              </w:rPr>
            </w:r>
            <w:r>
              <w:rPr>
                <w:noProof/>
                <w:webHidden/>
              </w:rPr>
              <w:fldChar w:fldCharType="separate"/>
            </w:r>
            <w:r>
              <w:rPr>
                <w:noProof/>
                <w:webHidden/>
              </w:rPr>
              <w:t>16</w:t>
            </w:r>
            <w:r>
              <w:rPr>
                <w:noProof/>
                <w:webHidden/>
              </w:rPr>
              <w:fldChar w:fldCharType="end"/>
            </w:r>
          </w:hyperlink>
        </w:p>
        <w:p w14:paraId="039D7703" w14:textId="3533C4EA" w:rsidR="00057838" w:rsidRDefault="00057838">
          <w:pPr>
            <w:pStyle w:val="TOC2"/>
            <w:tabs>
              <w:tab w:val="right" w:leader="dot" w:pos="9016"/>
            </w:tabs>
            <w:rPr>
              <w:rFonts w:asciiTheme="minorHAnsi" w:eastAsiaTheme="minorEastAsia" w:hAnsiTheme="minorHAnsi"/>
              <w:noProof/>
              <w:lang w:eastAsia="en-GB"/>
            </w:rPr>
          </w:pPr>
          <w:hyperlink w:anchor="_Toc218605970" w:history="1">
            <w:r w:rsidRPr="00057838">
              <w:rPr>
                <w:rStyle w:val="Hyperlink"/>
                <w:rFonts w:eastAsiaTheme="majorEastAsia" w:cs="Calibri"/>
                <w:noProof/>
                <w:u w:val="none"/>
                <w:lang w:val="en-US"/>
              </w:rPr>
              <w:t>Generation of a Deep Spectral Library of the Human Cardiac Proteome</w:t>
            </w:r>
            <w:r>
              <w:rPr>
                <w:noProof/>
                <w:webHidden/>
              </w:rPr>
              <w:tab/>
            </w:r>
            <w:r>
              <w:rPr>
                <w:noProof/>
                <w:webHidden/>
              </w:rPr>
              <w:fldChar w:fldCharType="begin"/>
            </w:r>
            <w:r>
              <w:rPr>
                <w:noProof/>
                <w:webHidden/>
              </w:rPr>
              <w:instrText xml:space="preserve"> PAGEREF _Toc218605970 \h </w:instrText>
            </w:r>
            <w:r>
              <w:rPr>
                <w:noProof/>
                <w:webHidden/>
              </w:rPr>
            </w:r>
            <w:r>
              <w:rPr>
                <w:noProof/>
                <w:webHidden/>
              </w:rPr>
              <w:fldChar w:fldCharType="separate"/>
            </w:r>
            <w:r>
              <w:rPr>
                <w:noProof/>
                <w:webHidden/>
              </w:rPr>
              <w:t>16</w:t>
            </w:r>
            <w:r>
              <w:rPr>
                <w:noProof/>
                <w:webHidden/>
              </w:rPr>
              <w:fldChar w:fldCharType="end"/>
            </w:r>
          </w:hyperlink>
        </w:p>
        <w:p w14:paraId="4AEB5726" w14:textId="6A21259A" w:rsidR="00057838" w:rsidRDefault="00057838">
          <w:pPr>
            <w:pStyle w:val="TOC2"/>
            <w:tabs>
              <w:tab w:val="right" w:leader="dot" w:pos="9016"/>
            </w:tabs>
            <w:rPr>
              <w:rFonts w:asciiTheme="minorHAnsi" w:eastAsiaTheme="minorEastAsia" w:hAnsiTheme="minorHAnsi"/>
              <w:noProof/>
              <w:lang w:eastAsia="en-GB"/>
            </w:rPr>
          </w:pPr>
          <w:hyperlink w:anchor="_Toc218605971" w:history="1">
            <w:r w:rsidRPr="00C94BCA">
              <w:rPr>
                <w:rStyle w:val="Hyperlink"/>
                <w:noProof/>
                <w:lang w:val="en-US"/>
              </w:rPr>
              <w:t>Differential Proteome Profiling of Human Cardiac Biopsies</w:t>
            </w:r>
            <w:r>
              <w:rPr>
                <w:noProof/>
                <w:webHidden/>
              </w:rPr>
              <w:tab/>
            </w:r>
            <w:r>
              <w:rPr>
                <w:noProof/>
                <w:webHidden/>
              </w:rPr>
              <w:fldChar w:fldCharType="begin"/>
            </w:r>
            <w:r>
              <w:rPr>
                <w:noProof/>
                <w:webHidden/>
              </w:rPr>
              <w:instrText xml:space="preserve"> PAGEREF _Toc218605971 \h </w:instrText>
            </w:r>
            <w:r>
              <w:rPr>
                <w:noProof/>
                <w:webHidden/>
              </w:rPr>
            </w:r>
            <w:r>
              <w:rPr>
                <w:noProof/>
                <w:webHidden/>
              </w:rPr>
              <w:fldChar w:fldCharType="separate"/>
            </w:r>
            <w:r>
              <w:rPr>
                <w:noProof/>
                <w:webHidden/>
              </w:rPr>
              <w:t>16</w:t>
            </w:r>
            <w:r>
              <w:rPr>
                <w:noProof/>
                <w:webHidden/>
              </w:rPr>
              <w:fldChar w:fldCharType="end"/>
            </w:r>
          </w:hyperlink>
        </w:p>
        <w:p w14:paraId="417B3B53" w14:textId="07C8A5B8" w:rsidR="00057838" w:rsidRDefault="00057838">
          <w:pPr>
            <w:pStyle w:val="TOC1"/>
            <w:tabs>
              <w:tab w:val="right" w:leader="dot" w:pos="9016"/>
            </w:tabs>
            <w:rPr>
              <w:rFonts w:asciiTheme="minorHAnsi" w:eastAsiaTheme="minorEastAsia" w:hAnsiTheme="minorHAnsi"/>
              <w:noProof/>
              <w:lang w:eastAsia="en-GB"/>
            </w:rPr>
          </w:pPr>
          <w:hyperlink w:anchor="_Toc218605972" w:history="1">
            <w:r w:rsidRPr="00C94BCA">
              <w:rPr>
                <w:rStyle w:val="Hyperlink"/>
                <w:noProof/>
                <w:lang w:val="en-US"/>
              </w:rPr>
              <w:t>Supplemental Figures</w:t>
            </w:r>
            <w:r>
              <w:rPr>
                <w:noProof/>
                <w:webHidden/>
              </w:rPr>
              <w:tab/>
            </w:r>
            <w:r>
              <w:rPr>
                <w:noProof/>
                <w:webHidden/>
              </w:rPr>
              <w:fldChar w:fldCharType="begin"/>
            </w:r>
            <w:r>
              <w:rPr>
                <w:noProof/>
                <w:webHidden/>
              </w:rPr>
              <w:instrText xml:space="preserve"> PAGEREF _Toc218605972 \h </w:instrText>
            </w:r>
            <w:r>
              <w:rPr>
                <w:noProof/>
                <w:webHidden/>
              </w:rPr>
            </w:r>
            <w:r>
              <w:rPr>
                <w:noProof/>
                <w:webHidden/>
              </w:rPr>
              <w:fldChar w:fldCharType="separate"/>
            </w:r>
            <w:r>
              <w:rPr>
                <w:noProof/>
                <w:webHidden/>
              </w:rPr>
              <w:t>18</w:t>
            </w:r>
            <w:r>
              <w:rPr>
                <w:noProof/>
                <w:webHidden/>
              </w:rPr>
              <w:fldChar w:fldCharType="end"/>
            </w:r>
          </w:hyperlink>
        </w:p>
        <w:p w14:paraId="2F9FB5EC" w14:textId="531CA343" w:rsidR="00057838" w:rsidRDefault="00057838">
          <w:pPr>
            <w:pStyle w:val="TOC1"/>
            <w:tabs>
              <w:tab w:val="right" w:leader="dot" w:pos="9016"/>
            </w:tabs>
            <w:rPr>
              <w:rFonts w:asciiTheme="minorHAnsi" w:eastAsiaTheme="minorEastAsia" w:hAnsiTheme="minorHAnsi"/>
              <w:noProof/>
              <w:lang w:eastAsia="en-GB"/>
            </w:rPr>
          </w:pPr>
          <w:hyperlink w:anchor="_Toc218605973" w:history="1">
            <w:r w:rsidRPr="00C94BCA">
              <w:rPr>
                <w:rStyle w:val="Hyperlink"/>
                <w:noProof/>
                <w:lang w:val="en-US"/>
              </w:rPr>
              <w:t>References</w:t>
            </w:r>
            <w:r>
              <w:rPr>
                <w:noProof/>
                <w:webHidden/>
              </w:rPr>
              <w:tab/>
            </w:r>
            <w:r>
              <w:rPr>
                <w:noProof/>
                <w:webHidden/>
              </w:rPr>
              <w:fldChar w:fldCharType="begin"/>
            </w:r>
            <w:r>
              <w:rPr>
                <w:noProof/>
                <w:webHidden/>
              </w:rPr>
              <w:instrText xml:space="preserve"> PAGEREF _Toc218605973 \h </w:instrText>
            </w:r>
            <w:r>
              <w:rPr>
                <w:noProof/>
                <w:webHidden/>
              </w:rPr>
            </w:r>
            <w:r>
              <w:rPr>
                <w:noProof/>
                <w:webHidden/>
              </w:rPr>
              <w:fldChar w:fldCharType="separate"/>
            </w:r>
            <w:r>
              <w:rPr>
                <w:noProof/>
                <w:webHidden/>
              </w:rPr>
              <w:t>24</w:t>
            </w:r>
            <w:r>
              <w:rPr>
                <w:noProof/>
                <w:webHidden/>
              </w:rPr>
              <w:fldChar w:fldCharType="end"/>
            </w:r>
          </w:hyperlink>
        </w:p>
        <w:p w14:paraId="33B62987" w14:textId="4E684DCA" w:rsidR="00EB254F" w:rsidRPr="004A4E01" w:rsidRDefault="00DF170A" w:rsidP="004A4E01">
          <w:pPr>
            <w:sectPr w:rsidR="00EB254F" w:rsidRPr="004A4E01" w:rsidSect="007A3AF3">
              <w:headerReference w:type="default" r:id="rId10"/>
              <w:footerReference w:type="default" r:id="rId11"/>
              <w:footerReference w:type="first" r:id="rId12"/>
              <w:type w:val="continuous"/>
              <w:pgSz w:w="11906" w:h="16838" w:code="9"/>
              <w:pgMar w:top="1440" w:right="1440" w:bottom="1440" w:left="1440" w:header="709" w:footer="709" w:gutter="0"/>
              <w:lnNumType w:countBy="1" w:restart="continuous"/>
              <w:cols w:space="708"/>
              <w:titlePg/>
              <w:docGrid w:linePitch="360"/>
            </w:sectPr>
          </w:pPr>
          <w:r>
            <w:rPr>
              <w:b/>
              <w:bCs/>
              <w:lang w:val="lt-LT"/>
            </w:rPr>
            <w:fldChar w:fldCharType="end"/>
          </w:r>
        </w:p>
      </w:sdtContent>
    </w:sdt>
    <w:p w14:paraId="6E63E6C6" w14:textId="03C86EBD" w:rsidR="00EB254F" w:rsidRPr="00014714" w:rsidRDefault="00EB254F" w:rsidP="00EB254F">
      <w:pPr>
        <w:pStyle w:val="Heading1"/>
        <w:rPr>
          <w:rFonts w:ascii="Calibri" w:hAnsi="Calibri" w:cs="Calibri"/>
          <w:sz w:val="32"/>
          <w:lang w:val="en-US"/>
        </w:rPr>
      </w:pPr>
      <w:bookmarkStart w:id="5" w:name="_Toc218605956"/>
      <w:r>
        <w:rPr>
          <w:rFonts w:ascii="Calibri" w:hAnsi="Calibri" w:cs="Calibri"/>
          <w:sz w:val="32"/>
          <w:lang w:val="en-US"/>
        </w:rPr>
        <w:lastRenderedPageBreak/>
        <w:t xml:space="preserve">Supplementary </w:t>
      </w:r>
      <w:r w:rsidR="00F17ECA">
        <w:rPr>
          <w:rFonts w:ascii="Calibri" w:hAnsi="Calibri" w:cs="Calibri"/>
          <w:sz w:val="32"/>
          <w:lang w:val="en-US"/>
        </w:rPr>
        <w:t>M</w:t>
      </w:r>
      <w:r>
        <w:rPr>
          <w:rFonts w:ascii="Calibri" w:hAnsi="Calibri" w:cs="Calibri"/>
          <w:sz w:val="32"/>
          <w:lang w:val="en-US"/>
        </w:rPr>
        <w:t>ethods</w:t>
      </w:r>
      <w:bookmarkEnd w:id="5"/>
    </w:p>
    <w:p w14:paraId="21BE72D9" w14:textId="18AE4E04" w:rsidR="00EB254F" w:rsidRDefault="00EB254F" w:rsidP="00EB254F">
      <w:pPr>
        <w:pStyle w:val="Heading2"/>
        <w:rPr>
          <w:lang w:val="en-US"/>
        </w:rPr>
      </w:pPr>
      <w:bookmarkStart w:id="6" w:name="_Toc218605957"/>
      <w:r>
        <w:rPr>
          <w:lang w:val="en-US"/>
        </w:rPr>
        <w:t xml:space="preserve">Data </w:t>
      </w:r>
      <w:r w:rsidR="00F17ECA">
        <w:rPr>
          <w:lang w:val="en-US"/>
        </w:rPr>
        <w:t>A</w:t>
      </w:r>
      <w:r>
        <w:rPr>
          <w:lang w:val="en-US"/>
        </w:rPr>
        <w:t>nalysis</w:t>
      </w:r>
      <w:bookmarkEnd w:id="6"/>
    </w:p>
    <w:p w14:paraId="3D63BCCD" w14:textId="295AA425" w:rsidR="00F17ECA" w:rsidRPr="00F17ECA" w:rsidRDefault="00EB254F" w:rsidP="00F17ECA">
      <w:pPr>
        <w:pStyle w:val="Heading3"/>
      </w:pPr>
      <w:bookmarkStart w:id="7" w:name="_Toc218605958"/>
      <w:r w:rsidRPr="000E03BE">
        <w:t xml:space="preserve">Outlier </w:t>
      </w:r>
      <w:r w:rsidR="00F17ECA">
        <w:t>I</w:t>
      </w:r>
      <w:r w:rsidRPr="000E03BE">
        <w:t>dentification</w:t>
      </w:r>
      <w:bookmarkEnd w:id="7"/>
    </w:p>
    <w:p w14:paraId="5C2AACF5" w14:textId="18BA4E78" w:rsidR="00EB254F" w:rsidRPr="002E4282" w:rsidRDefault="00EB254F" w:rsidP="00EB254F">
      <w:pPr>
        <w:autoSpaceDE w:val="0"/>
        <w:autoSpaceDN w:val="0"/>
        <w:adjustRightInd w:val="0"/>
        <w:jc w:val="both"/>
        <w:rPr>
          <w:rFonts w:eastAsiaTheme="majorEastAsia" w:cs="Calibri"/>
          <w:color w:val="000000" w:themeColor="text1"/>
          <w:sz w:val="24"/>
          <w:szCs w:val="24"/>
          <w:lang w:val="en-US"/>
        </w:rPr>
      </w:pPr>
      <w:r w:rsidRPr="004213C2">
        <w:rPr>
          <w:rFonts w:eastAsiaTheme="majorEastAsia" w:cs="Calibri"/>
          <w:color w:val="000000" w:themeColor="text1"/>
          <w:sz w:val="24"/>
          <w:szCs w:val="24"/>
          <w:lang w:val="en-US"/>
        </w:rPr>
        <w:t xml:space="preserve">As a first filter, we assessed the technical fitness of each injection. Injections which had less than 50% of the highest protein groups count were excluded from further analysis to avoid normalization and imputation artifacts. In addition, outlier samples were identified by </w:t>
      </w:r>
      <w:r w:rsidR="00011248">
        <w:rPr>
          <w:rFonts w:eastAsiaTheme="majorEastAsia" w:cs="Calibri"/>
          <w:color w:val="000000" w:themeColor="text1"/>
          <w:sz w:val="24"/>
          <w:szCs w:val="24"/>
          <w:lang w:val="en-US"/>
        </w:rPr>
        <w:t>the Principal Component Analysis (</w:t>
      </w:r>
      <w:r w:rsidRPr="004213C2">
        <w:rPr>
          <w:rFonts w:eastAsiaTheme="majorEastAsia" w:cs="Calibri"/>
          <w:color w:val="000000" w:themeColor="text1"/>
          <w:sz w:val="24"/>
          <w:szCs w:val="24"/>
          <w:lang w:val="en-US"/>
        </w:rPr>
        <w:t>PCA</w:t>
      </w:r>
      <w:r w:rsidR="00011248">
        <w:rPr>
          <w:rFonts w:eastAsiaTheme="majorEastAsia" w:cs="Calibri"/>
          <w:color w:val="000000" w:themeColor="text1"/>
          <w:sz w:val="24"/>
          <w:szCs w:val="24"/>
          <w:lang w:val="en-US"/>
        </w:rPr>
        <w:t>)</w:t>
      </w:r>
      <w:r w:rsidRPr="004213C2">
        <w:rPr>
          <w:rFonts w:eastAsiaTheme="majorEastAsia" w:cs="Calibri"/>
          <w:color w:val="000000" w:themeColor="text1"/>
          <w:sz w:val="24"/>
          <w:szCs w:val="24"/>
          <w:lang w:val="en-US"/>
        </w:rPr>
        <w:t xml:space="preserve"> and hierarchic</w:t>
      </w:r>
      <w:r>
        <w:rPr>
          <w:rFonts w:eastAsiaTheme="majorEastAsia" w:cs="Calibri"/>
          <w:color w:val="000000" w:themeColor="text1"/>
          <w:sz w:val="24"/>
          <w:szCs w:val="24"/>
          <w:lang w:val="en-US"/>
        </w:rPr>
        <w:t>al clustering (data not shown).</w:t>
      </w:r>
    </w:p>
    <w:p w14:paraId="6C3A24BE" w14:textId="06A5EA0E" w:rsidR="00EB254F" w:rsidRPr="002A33FD" w:rsidRDefault="00EB254F" w:rsidP="00EB254F">
      <w:pPr>
        <w:pStyle w:val="Heading3"/>
        <w:rPr>
          <w:lang w:val="en-US"/>
        </w:rPr>
      </w:pPr>
      <w:bookmarkStart w:id="8" w:name="_Toc218605959"/>
      <w:r w:rsidRPr="002A33FD">
        <w:rPr>
          <w:lang w:val="en-US"/>
        </w:rPr>
        <w:t xml:space="preserve">Differential </w:t>
      </w:r>
      <w:r w:rsidR="00F17ECA">
        <w:rPr>
          <w:lang w:val="en-US"/>
        </w:rPr>
        <w:t>P</w:t>
      </w:r>
      <w:r w:rsidRPr="002A33FD">
        <w:rPr>
          <w:lang w:val="en-US"/>
        </w:rPr>
        <w:t>ro</w:t>
      </w:r>
      <w:r>
        <w:rPr>
          <w:lang w:val="en-US"/>
        </w:rPr>
        <w:t xml:space="preserve">tein </w:t>
      </w:r>
      <w:r w:rsidR="00F17ECA">
        <w:rPr>
          <w:lang w:val="en-US"/>
        </w:rPr>
        <w:t>E</w:t>
      </w:r>
      <w:r>
        <w:rPr>
          <w:lang w:val="en-US"/>
        </w:rPr>
        <w:t xml:space="preserve">xpression </w:t>
      </w:r>
      <w:r w:rsidR="00F17ECA">
        <w:rPr>
          <w:lang w:val="en-US"/>
        </w:rPr>
        <w:t>A</w:t>
      </w:r>
      <w:r>
        <w:rPr>
          <w:lang w:val="en-US"/>
        </w:rPr>
        <w:t>nalysis</w:t>
      </w:r>
      <w:bookmarkEnd w:id="8"/>
    </w:p>
    <w:p w14:paraId="0DA082E4" w14:textId="50A9ABB8" w:rsidR="00EB254F" w:rsidRPr="004A2991" w:rsidRDefault="00EB254F" w:rsidP="00EB254F">
      <w:pPr>
        <w:autoSpaceDE w:val="0"/>
        <w:autoSpaceDN w:val="0"/>
        <w:adjustRightInd w:val="0"/>
        <w:jc w:val="both"/>
        <w:rPr>
          <w:rFonts w:eastAsiaTheme="majorEastAsia" w:cs="Calibri"/>
          <w:sz w:val="24"/>
          <w:szCs w:val="28"/>
          <w:lang w:val="en-US"/>
        </w:rPr>
      </w:pPr>
      <w:r w:rsidRPr="004A2991">
        <w:rPr>
          <w:rFonts w:eastAsiaTheme="majorEastAsia" w:cs="Calibri"/>
          <w:sz w:val="24"/>
          <w:szCs w:val="28"/>
          <w:lang w:val="en-US"/>
        </w:rPr>
        <w:t xml:space="preserve">To analyze </w:t>
      </w:r>
      <w:r w:rsidR="00346743">
        <w:rPr>
          <w:rFonts w:eastAsiaTheme="majorEastAsia" w:cs="Calibri"/>
          <w:sz w:val="24"/>
          <w:szCs w:val="28"/>
          <w:lang w:val="en-US"/>
        </w:rPr>
        <w:t xml:space="preserve">protein </w:t>
      </w:r>
      <w:r w:rsidR="00346743" w:rsidRPr="00252D88">
        <w:rPr>
          <w:rFonts w:eastAsiaTheme="majorEastAsia" w:cs="Calibri"/>
          <w:sz w:val="24"/>
          <w:szCs w:val="28"/>
          <w:lang w:val="en-US"/>
        </w:rPr>
        <w:t>abundance</w:t>
      </w:r>
      <w:r w:rsidRPr="00252D88">
        <w:rPr>
          <w:rFonts w:eastAsiaTheme="majorEastAsia" w:cs="Calibri"/>
          <w:sz w:val="24"/>
          <w:szCs w:val="28"/>
          <w:lang w:val="en-US"/>
        </w:rPr>
        <w:t>,</w:t>
      </w:r>
      <w:r w:rsidRPr="004A2991">
        <w:rPr>
          <w:rFonts w:eastAsiaTheme="majorEastAsia" w:cs="Calibri"/>
          <w:sz w:val="24"/>
          <w:szCs w:val="28"/>
          <w:lang w:val="en-US"/>
        </w:rPr>
        <w:t xml:space="preserve"> the Generalized Estimating Equations (GEE) model was implemented with the “</w:t>
      </w:r>
      <w:proofErr w:type="spellStart"/>
      <w:r w:rsidRPr="004A2991">
        <w:rPr>
          <w:rFonts w:eastAsiaTheme="majorEastAsia" w:cs="Calibri"/>
          <w:sz w:val="24"/>
          <w:szCs w:val="28"/>
          <w:lang w:val="en-US"/>
        </w:rPr>
        <w:t>geepack</w:t>
      </w:r>
      <w:proofErr w:type="spellEnd"/>
      <w:r w:rsidRPr="004A2991">
        <w:rPr>
          <w:rFonts w:eastAsiaTheme="majorEastAsia" w:cs="Calibri"/>
          <w:sz w:val="24"/>
          <w:szCs w:val="28"/>
          <w:lang w:val="en-US"/>
        </w:rPr>
        <w:t>” R package</w:t>
      </w:r>
      <w:r>
        <w:rPr>
          <w:rFonts w:eastAsiaTheme="majorEastAsia" w:cs="Calibri"/>
          <w:sz w:val="24"/>
          <w:szCs w:val="28"/>
          <w:lang w:val="en-US"/>
        </w:rPr>
        <w:fldChar w:fldCharType="begin" w:fldLock="1"/>
      </w:r>
      <w:r w:rsidR="00F34506">
        <w:rPr>
          <w:rFonts w:eastAsiaTheme="majorEastAsia" w:cs="Calibri"/>
          <w:sz w:val="24"/>
          <w:szCs w:val="28"/>
          <w:lang w:val="en-US"/>
        </w:rPr>
        <w:instrText>ADDIN CSL_CITATION {"citationItems":[{"id":"ITEM-1","itemData":{"DOI":"10.1093/biomet/73.1.13","ISSN":"00063444","abstract":"This paper proposes an extension of generalized linear models to the analysis of longitudinal data. We introduce a class of estimating equations that give consistent estimates of the regression parameters and of their variance under mild assumptions about the time dependence. The estimating equations are derived without specifying the joint distribution of a subject's observations yet they reduce to the score equations for niultivariate Gaussian outcomes. Asymptotic theory is presented for the general class of estimators. Specific cases in which we assume independence, m-dependence and exchangeable correlation structures from each subject are discussed. Efficiency of the pioposecl estimators in two simple situations is considered. The approach is closely related to quasi-likelihood. © 1986 Biometrika Trust.","author":[{"dropping-particle":"","family":"Liang","given":"Kung Yee","non-dropping-particle":"","parse-names":false,"suffix":""},{"dropping-particle":"","family":"Zeger","given":"Scott L.","non-dropping-particle":"","parse-names":false,"suffix":""}],"container-title":"Biometrika","id":"ITEM-1","issue":"1","issued":{"date-parts":[["1986"]]},"page":"13-22","title":"Longitudinal data analysis using generalized linear models","type":"article-journal","volume":"73"},"uris":["http://www.mendeley.com/documents/?uuid=e8692118-f9ca-49d6-8436-0ee90eb6fbfe"]},{"id":"ITEM-2","itemData":{"DOI":"10.18637/jss.v015.i02","ISSN":"15487660","abstract":"This paper describes the core features of the R package geepack, which implements the generalized estimating equations (GEE) approach for fitting marginal generalized linear models to clustered data. Clustered data arise in many applications such as longitudinal data and repeated measures. The GEE approach focuses on models for the mean of the correlated observations within clusters without fully specifying the joint distribution of the observations. It has been widely used in statistical practice. This paper illustrates the application of the GEE approach with geepack through an example of clustered binary data.","author":[{"dropping-particle":"","family":"Halekoh","given":"Ulrich","non-dropping-particle":"","parse-names":false,"suffix":""},{"dropping-particle":"","family":"Højsgaard","given":"Søren","non-dropping-particle":"","parse-names":false,"suffix":""},{"dropping-particle":"","family":"Yan","given":"Jun","non-dropping-particle":"","parse-names":false,"suffix":""}],"container-title":"Journal of Statistical Software","id":"ITEM-2","issue":"2","issued":{"date-parts":[["2006"]]},"page":"1-11","title":"The R package geepack for generalized estimating equations","type":"article-journal","volume":"15"},"uris":["http://www.mendeley.com/documents/?uuid=39014757-de13-45f7-bc72-91ac3206a528"]}],"mendeley":{"formattedCitation":"&lt;sup&gt;1,2&lt;/sup&gt;","plainTextFormattedCitation":"1,2","previouslyFormattedCitation":"&lt;sup&gt;1,2&lt;/sup&gt;"},"properties":{"noteIndex":0},"schema":"https://github.com/citation-style-language/schema/raw/master/csl-citation.json"}</w:instrText>
      </w:r>
      <w:r>
        <w:rPr>
          <w:rFonts w:eastAsiaTheme="majorEastAsia" w:cs="Calibri"/>
          <w:sz w:val="24"/>
          <w:szCs w:val="28"/>
          <w:lang w:val="en-US"/>
        </w:rPr>
        <w:fldChar w:fldCharType="separate"/>
      </w:r>
      <w:r w:rsidR="00DF170A" w:rsidRPr="00DF170A">
        <w:rPr>
          <w:rFonts w:eastAsiaTheme="majorEastAsia" w:cs="Calibri"/>
          <w:noProof/>
          <w:sz w:val="24"/>
          <w:szCs w:val="28"/>
          <w:vertAlign w:val="superscript"/>
          <w:lang w:val="en-US"/>
        </w:rPr>
        <w:t>1,2</w:t>
      </w:r>
      <w:r>
        <w:rPr>
          <w:rFonts w:eastAsiaTheme="majorEastAsia" w:cs="Calibri"/>
          <w:sz w:val="24"/>
          <w:szCs w:val="28"/>
          <w:lang w:val="en-US"/>
        </w:rPr>
        <w:fldChar w:fldCharType="end"/>
      </w:r>
      <w:r w:rsidRPr="004A2991">
        <w:rPr>
          <w:rFonts w:eastAsiaTheme="majorEastAsia" w:cs="Calibri"/>
          <w:sz w:val="24"/>
          <w:szCs w:val="28"/>
          <w:lang w:val="en-US"/>
        </w:rPr>
        <w:t xml:space="preserve">. The study involved three comparisons: 1) </w:t>
      </w:r>
      <w:r w:rsidR="00011248">
        <w:rPr>
          <w:rFonts w:eastAsiaTheme="majorEastAsia" w:cs="Calibri"/>
          <w:sz w:val="24"/>
          <w:szCs w:val="28"/>
          <w:lang w:val="en-US"/>
        </w:rPr>
        <w:t>right atria (RA) from patients with sinus rhythm (</w:t>
      </w:r>
      <w:r w:rsidRPr="004A2991">
        <w:rPr>
          <w:rFonts w:eastAsiaTheme="majorEastAsia" w:cs="Calibri"/>
          <w:sz w:val="24"/>
          <w:szCs w:val="28"/>
          <w:lang w:val="en-US"/>
        </w:rPr>
        <w:t>RA-SR</w:t>
      </w:r>
      <w:r w:rsidR="00011248">
        <w:rPr>
          <w:rFonts w:eastAsiaTheme="majorEastAsia" w:cs="Calibri"/>
          <w:sz w:val="24"/>
          <w:szCs w:val="28"/>
          <w:lang w:val="en-US"/>
        </w:rPr>
        <w:t>)</w:t>
      </w:r>
      <w:r w:rsidRPr="004A2991">
        <w:rPr>
          <w:rFonts w:eastAsiaTheme="majorEastAsia" w:cs="Calibri"/>
          <w:sz w:val="24"/>
          <w:szCs w:val="28"/>
          <w:lang w:val="en-US"/>
        </w:rPr>
        <w:t xml:space="preserve"> vs. </w:t>
      </w:r>
      <w:r w:rsidR="00011248">
        <w:rPr>
          <w:rFonts w:eastAsiaTheme="majorEastAsia" w:cs="Calibri"/>
          <w:sz w:val="24"/>
          <w:szCs w:val="28"/>
          <w:lang w:val="en-US"/>
        </w:rPr>
        <w:t>RA from patients with persistent atrial fibrillation (</w:t>
      </w:r>
      <w:r>
        <w:rPr>
          <w:color w:val="000000" w:themeColor="text1"/>
          <w:sz w:val="24"/>
          <w:szCs w:val="24"/>
          <w:lang w:val="en-US"/>
        </w:rPr>
        <w:t>RA-</w:t>
      </w:r>
      <w:proofErr w:type="spellStart"/>
      <w:r>
        <w:rPr>
          <w:color w:val="000000" w:themeColor="text1"/>
          <w:sz w:val="24"/>
          <w:szCs w:val="24"/>
          <w:lang w:val="en-US"/>
        </w:rPr>
        <w:t>persAF</w:t>
      </w:r>
      <w:proofErr w:type="spellEnd"/>
      <w:r w:rsidR="00011248">
        <w:rPr>
          <w:color w:val="000000" w:themeColor="text1"/>
          <w:sz w:val="24"/>
          <w:szCs w:val="24"/>
          <w:lang w:val="en-US"/>
        </w:rPr>
        <w:t>)</w:t>
      </w:r>
      <w:r w:rsidRPr="004A2991">
        <w:rPr>
          <w:rFonts w:eastAsiaTheme="majorEastAsia" w:cs="Calibri"/>
          <w:sz w:val="24"/>
          <w:szCs w:val="28"/>
          <w:lang w:val="en-US"/>
        </w:rPr>
        <w:t xml:space="preserve">: This comparison included 15 individuals with replicates for RA-SR and 16 individuals with replicates for </w:t>
      </w:r>
      <w:r>
        <w:rPr>
          <w:color w:val="000000" w:themeColor="text1"/>
          <w:sz w:val="24"/>
          <w:szCs w:val="24"/>
          <w:lang w:val="en-US"/>
        </w:rPr>
        <w:t>RA-</w:t>
      </w:r>
      <w:proofErr w:type="spellStart"/>
      <w:r>
        <w:rPr>
          <w:color w:val="000000" w:themeColor="text1"/>
          <w:sz w:val="24"/>
          <w:szCs w:val="24"/>
          <w:lang w:val="en-US"/>
        </w:rPr>
        <w:t>persAF</w:t>
      </w:r>
      <w:proofErr w:type="spellEnd"/>
      <w:r w:rsidRPr="004A2991">
        <w:rPr>
          <w:rFonts w:eastAsiaTheme="majorEastAsia" w:cs="Calibri"/>
          <w:sz w:val="24"/>
          <w:szCs w:val="28"/>
          <w:lang w:val="en-US"/>
        </w:rPr>
        <w:t xml:space="preserve">, except for one individual who had only one replicate. 2) RA-SR vs. </w:t>
      </w:r>
      <w:r w:rsidR="00011248">
        <w:rPr>
          <w:rFonts w:eastAsiaTheme="majorEastAsia" w:cs="Calibri"/>
          <w:sz w:val="24"/>
          <w:szCs w:val="28"/>
          <w:lang w:val="en-US"/>
        </w:rPr>
        <w:t>left atria (LA) from patients with sinus rhythm (</w:t>
      </w:r>
      <w:r w:rsidRPr="004A2991">
        <w:rPr>
          <w:rFonts w:eastAsiaTheme="majorEastAsia" w:cs="Calibri"/>
          <w:sz w:val="24"/>
          <w:szCs w:val="28"/>
          <w:lang w:val="en-US"/>
        </w:rPr>
        <w:t>LA-SR</w:t>
      </w:r>
      <w:r w:rsidR="00011248">
        <w:rPr>
          <w:rFonts w:eastAsiaTheme="majorEastAsia" w:cs="Calibri"/>
          <w:sz w:val="24"/>
          <w:szCs w:val="28"/>
          <w:lang w:val="en-US"/>
        </w:rPr>
        <w:t>)</w:t>
      </w:r>
      <w:r w:rsidRPr="004A2991">
        <w:rPr>
          <w:rFonts w:eastAsiaTheme="majorEastAsia" w:cs="Calibri"/>
          <w:sz w:val="24"/>
          <w:szCs w:val="28"/>
          <w:lang w:val="en-US"/>
        </w:rPr>
        <w:t xml:space="preserve">: This comparison involved 8 individuals, each with 3 replicates for both RA and LA. 3) </w:t>
      </w:r>
      <w:r>
        <w:rPr>
          <w:color w:val="000000" w:themeColor="text1"/>
          <w:sz w:val="24"/>
          <w:szCs w:val="24"/>
          <w:lang w:val="en-US"/>
        </w:rPr>
        <w:t>RA-</w:t>
      </w:r>
      <w:proofErr w:type="spellStart"/>
      <w:r>
        <w:rPr>
          <w:color w:val="000000" w:themeColor="text1"/>
          <w:sz w:val="24"/>
          <w:szCs w:val="24"/>
          <w:lang w:val="en-US"/>
        </w:rPr>
        <w:t>persAF</w:t>
      </w:r>
      <w:proofErr w:type="spellEnd"/>
      <w:r>
        <w:rPr>
          <w:color w:val="000000" w:themeColor="text1"/>
          <w:sz w:val="24"/>
          <w:szCs w:val="24"/>
          <w:lang w:val="en-US"/>
        </w:rPr>
        <w:t xml:space="preserve"> </w:t>
      </w:r>
      <w:r w:rsidRPr="004A2991">
        <w:rPr>
          <w:rFonts w:eastAsiaTheme="majorEastAsia" w:cs="Calibri"/>
          <w:sz w:val="24"/>
          <w:szCs w:val="28"/>
          <w:lang w:val="en-US"/>
        </w:rPr>
        <w:t xml:space="preserve">vs. </w:t>
      </w:r>
      <w:r>
        <w:rPr>
          <w:rFonts w:eastAsiaTheme="majorEastAsia" w:cs="Calibri"/>
          <w:sz w:val="24"/>
          <w:szCs w:val="28"/>
          <w:lang w:val="en-US"/>
        </w:rPr>
        <w:t>LA-</w:t>
      </w:r>
      <w:proofErr w:type="spellStart"/>
      <w:r>
        <w:rPr>
          <w:rFonts w:eastAsiaTheme="majorEastAsia" w:cs="Calibri"/>
          <w:sz w:val="24"/>
          <w:szCs w:val="28"/>
          <w:lang w:val="en-US"/>
        </w:rPr>
        <w:t>persAF</w:t>
      </w:r>
      <w:proofErr w:type="spellEnd"/>
      <w:r w:rsidRPr="004A2991">
        <w:rPr>
          <w:rFonts w:eastAsiaTheme="majorEastAsia" w:cs="Calibri"/>
          <w:sz w:val="24"/>
          <w:szCs w:val="28"/>
          <w:lang w:val="en-US"/>
        </w:rPr>
        <w:t>: This comparison comprised 6 individuals, each with 2 replicates for both RA and LA.</w:t>
      </w:r>
    </w:p>
    <w:p w14:paraId="61CA0DAA" w14:textId="4D427FE8" w:rsidR="00EB254F" w:rsidRPr="004A2991" w:rsidRDefault="00EB254F" w:rsidP="00EB254F">
      <w:pPr>
        <w:autoSpaceDE w:val="0"/>
        <w:autoSpaceDN w:val="0"/>
        <w:adjustRightInd w:val="0"/>
        <w:jc w:val="both"/>
        <w:rPr>
          <w:rFonts w:eastAsiaTheme="majorEastAsia" w:cs="Calibri"/>
          <w:sz w:val="24"/>
          <w:szCs w:val="28"/>
          <w:lang w:val="en-US"/>
        </w:rPr>
      </w:pPr>
      <w:r w:rsidRPr="004A2991">
        <w:rPr>
          <w:rFonts w:eastAsiaTheme="majorEastAsia" w:cs="Calibri"/>
          <w:sz w:val="24"/>
          <w:szCs w:val="28"/>
          <w:lang w:val="en-US"/>
        </w:rPr>
        <w:t xml:space="preserve">The </w:t>
      </w:r>
      <w:r w:rsidR="00346743" w:rsidRPr="00252D88">
        <w:rPr>
          <w:color w:val="000000" w:themeColor="text1"/>
          <w:sz w:val="24"/>
        </w:rPr>
        <w:t>abundance</w:t>
      </w:r>
      <w:r w:rsidRPr="00252D88">
        <w:rPr>
          <w:rFonts w:eastAsiaTheme="majorEastAsia" w:cs="Calibri"/>
          <w:sz w:val="24"/>
          <w:szCs w:val="28"/>
          <w:lang w:val="en-US"/>
        </w:rPr>
        <w:t xml:space="preserve"> </w:t>
      </w:r>
      <w:r w:rsidR="006513AF" w:rsidRPr="00252D88">
        <w:rPr>
          <w:rFonts w:eastAsiaTheme="majorEastAsia" w:cs="Calibri"/>
          <w:sz w:val="24"/>
          <w:szCs w:val="28"/>
          <w:lang w:val="en-US"/>
        </w:rPr>
        <w:t>values</w:t>
      </w:r>
      <w:r w:rsidR="006513AF">
        <w:rPr>
          <w:rFonts w:eastAsiaTheme="majorEastAsia" w:cs="Calibri"/>
          <w:sz w:val="24"/>
          <w:szCs w:val="28"/>
          <w:lang w:val="en-US"/>
        </w:rPr>
        <w:t xml:space="preserve"> </w:t>
      </w:r>
      <w:r w:rsidRPr="004A2991">
        <w:rPr>
          <w:rFonts w:eastAsiaTheme="majorEastAsia" w:cs="Calibri"/>
          <w:sz w:val="24"/>
          <w:szCs w:val="28"/>
          <w:lang w:val="en-US"/>
        </w:rPr>
        <w:t>of all proteins were log</w:t>
      </w:r>
      <w:r w:rsidRPr="004A2991">
        <w:rPr>
          <w:rFonts w:eastAsiaTheme="majorEastAsia" w:cs="Calibri"/>
          <w:sz w:val="24"/>
          <w:szCs w:val="28"/>
          <w:vertAlign w:val="subscript"/>
          <w:lang w:val="en-US"/>
        </w:rPr>
        <w:t>2</w:t>
      </w:r>
      <w:r w:rsidRPr="004A2991">
        <w:rPr>
          <w:rFonts w:eastAsiaTheme="majorEastAsia" w:cs="Calibri"/>
          <w:sz w:val="24"/>
          <w:szCs w:val="28"/>
          <w:lang w:val="en-US"/>
        </w:rPr>
        <w:t>-transformed prior to analysis to stabilize variance and normalize the distribution of the data.</w:t>
      </w:r>
    </w:p>
    <w:p w14:paraId="1F7B0C60" w14:textId="77777777" w:rsidR="00EB254F" w:rsidRPr="004A2991" w:rsidRDefault="00EB254F" w:rsidP="00EB254F">
      <w:pPr>
        <w:autoSpaceDE w:val="0"/>
        <w:autoSpaceDN w:val="0"/>
        <w:adjustRightInd w:val="0"/>
        <w:jc w:val="both"/>
        <w:rPr>
          <w:rFonts w:eastAsiaTheme="majorEastAsia" w:cs="Calibri"/>
          <w:sz w:val="24"/>
          <w:szCs w:val="28"/>
          <w:lang w:val="en-US"/>
        </w:rPr>
      </w:pPr>
      <w:r w:rsidRPr="004A2991">
        <w:rPr>
          <w:rFonts w:eastAsiaTheme="majorEastAsia" w:cs="Calibri"/>
          <w:sz w:val="24"/>
          <w:szCs w:val="28"/>
          <w:lang w:val="en-US"/>
        </w:rPr>
        <w:t>Before performing the GEE analysis, the correlation between technical replicates was assessed. The correlation coefficients were high (close to 1 for most individuals), indicating strong within-sample consistency and minimal measurement variability. Given the high correlation, the GEE model was deemed suitable as it can handle correlated measurements within subjects and estimate population-averaged effects.</w:t>
      </w:r>
    </w:p>
    <w:p w14:paraId="4E967BA4" w14:textId="27E2A2A9" w:rsidR="00EB254F" w:rsidRPr="004A2991" w:rsidRDefault="00EB254F" w:rsidP="00EB254F">
      <w:pPr>
        <w:autoSpaceDE w:val="0"/>
        <w:autoSpaceDN w:val="0"/>
        <w:adjustRightInd w:val="0"/>
        <w:jc w:val="both"/>
        <w:rPr>
          <w:rFonts w:eastAsiaTheme="majorEastAsia" w:cs="Calibri"/>
          <w:sz w:val="24"/>
          <w:szCs w:val="28"/>
          <w:lang w:val="en-US"/>
        </w:rPr>
      </w:pPr>
      <w:r w:rsidRPr="004A2991">
        <w:rPr>
          <w:rFonts w:eastAsiaTheme="majorEastAsia" w:cs="Calibri"/>
          <w:sz w:val="24"/>
          <w:szCs w:val="28"/>
          <w:lang w:val="en-US"/>
        </w:rPr>
        <w:t xml:space="preserve">For each protein, the GEE model was applied to estimate the average effects of protein </w:t>
      </w:r>
      <w:r w:rsidR="00346743" w:rsidRPr="00252D88">
        <w:rPr>
          <w:color w:val="000000" w:themeColor="text1"/>
          <w:sz w:val="24"/>
        </w:rPr>
        <w:t>abundance</w:t>
      </w:r>
      <w:r w:rsidR="00346743" w:rsidRPr="004A2991">
        <w:rPr>
          <w:rFonts w:eastAsiaTheme="majorEastAsia" w:cs="Calibri"/>
          <w:sz w:val="24"/>
          <w:szCs w:val="28"/>
          <w:lang w:val="en-US"/>
        </w:rPr>
        <w:t xml:space="preserve"> </w:t>
      </w:r>
      <w:r w:rsidRPr="004A2991">
        <w:rPr>
          <w:rFonts w:eastAsiaTheme="majorEastAsia" w:cs="Calibri"/>
          <w:sz w:val="24"/>
          <w:szCs w:val="28"/>
          <w:lang w:val="en-US"/>
        </w:rPr>
        <w:t xml:space="preserve">differences between the comparison groups. The model included the group variable as a fixed effect and accounted for within-subject correlations using an exchangeable correlation structure. We extracted coefficients and </w:t>
      </w:r>
      <w:r w:rsidRPr="004A2991">
        <w:rPr>
          <w:rFonts w:eastAsiaTheme="majorEastAsia" w:cs="Calibri"/>
          <w:i/>
          <w:sz w:val="24"/>
          <w:szCs w:val="28"/>
          <w:lang w:val="en-US"/>
        </w:rPr>
        <w:t>p</w:t>
      </w:r>
      <w:r>
        <w:rPr>
          <w:rFonts w:eastAsiaTheme="majorEastAsia" w:cs="Calibri"/>
          <w:sz w:val="24"/>
          <w:szCs w:val="28"/>
          <w:lang w:val="en-US"/>
        </w:rPr>
        <w:t xml:space="preserve"> </w:t>
      </w:r>
      <w:r w:rsidRPr="004A2991">
        <w:rPr>
          <w:rFonts w:eastAsiaTheme="majorEastAsia" w:cs="Calibri"/>
          <w:sz w:val="24"/>
          <w:szCs w:val="28"/>
          <w:lang w:val="en-US"/>
        </w:rPr>
        <w:t>values for each protein from the GEE model.</w:t>
      </w:r>
    </w:p>
    <w:p w14:paraId="7E122854" w14:textId="27B0924C" w:rsidR="00EB254F" w:rsidRPr="004E118E" w:rsidRDefault="00EB254F" w:rsidP="00EB254F">
      <w:pPr>
        <w:autoSpaceDE w:val="0"/>
        <w:autoSpaceDN w:val="0"/>
        <w:adjustRightInd w:val="0"/>
        <w:jc w:val="both"/>
        <w:rPr>
          <w:rFonts w:eastAsiaTheme="majorEastAsia" w:cs="Calibri"/>
          <w:sz w:val="24"/>
          <w:szCs w:val="28"/>
          <w:lang w:val="en-US"/>
        </w:rPr>
      </w:pPr>
      <w:r w:rsidRPr="004A2991">
        <w:rPr>
          <w:rFonts w:eastAsiaTheme="majorEastAsia" w:cs="Calibri"/>
          <w:sz w:val="24"/>
          <w:szCs w:val="28"/>
          <w:lang w:val="en-US"/>
        </w:rPr>
        <w:lastRenderedPageBreak/>
        <w:t xml:space="preserve">To control for multiple comparisons, we applied the </w:t>
      </w:r>
      <w:r>
        <w:rPr>
          <w:rFonts w:eastAsiaTheme="majorEastAsia" w:cs="Calibri"/>
          <w:sz w:val="24"/>
          <w:szCs w:val="28"/>
          <w:lang w:val="en-US"/>
        </w:rPr>
        <w:t>FDR</w:t>
      </w:r>
      <w:r w:rsidRPr="004A2991">
        <w:rPr>
          <w:rFonts w:eastAsiaTheme="majorEastAsia" w:cs="Calibri"/>
          <w:sz w:val="24"/>
          <w:szCs w:val="28"/>
          <w:lang w:val="en-US"/>
        </w:rPr>
        <w:t xml:space="preserve"> adjustment to the p-values using t</w:t>
      </w:r>
      <w:r>
        <w:rPr>
          <w:rFonts w:eastAsiaTheme="majorEastAsia" w:cs="Calibri"/>
          <w:sz w:val="24"/>
          <w:szCs w:val="28"/>
          <w:lang w:val="en-US"/>
        </w:rPr>
        <w:t>he Benjamini-Hochberg procedure</w:t>
      </w:r>
      <w:r>
        <w:rPr>
          <w:rFonts w:eastAsiaTheme="majorEastAsia" w:cs="Calibri"/>
          <w:sz w:val="24"/>
          <w:szCs w:val="28"/>
          <w:lang w:val="en-US"/>
        </w:rPr>
        <w:fldChar w:fldCharType="begin" w:fldLock="1"/>
      </w:r>
      <w:r w:rsidR="00F34506">
        <w:rPr>
          <w:rFonts w:eastAsiaTheme="majorEastAsia" w:cs="Calibri"/>
          <w:sz w:val="24"/>
          <w:szCs w:val="28"/>
          <w:lang w:val="en-US"/>
        </w:rPr>
        <w:instrText>ADDIN CSL_CITATION {"citationItems":[{"id":"ITEM-1","itemData":{"DOI":"10.1111/j.2517-6161.1995.tb02031.x","ISSN":"1369-7412","abstract":"The common approach to the multiplicity problem calls for controlling the familywise error rate (FWER). This approach, though, has faults, and we point out a few. A different approach to problems of multiple significance testing is presented. It calls for controlling the expected proportion of falsely rejected hypotheses — the false discovery rate. This error rate is equivalent to the FWER when all hypotheses are true but is smaller otherwise. Therefore, in problems where the control of the false discovery rate rather than that of the FWER is desired, there is potential for a gain in power. A simple sequential Bonferronitype procedure is proved to control the false discovery rate for independent test statistics, and a simulation study shows that the gain in power is substantial. The use of the new procedure and the appropriateness of the criterion are illustrated with examples.","author":[{"dropping-particle":"","family":"Benjamini","given":"Yoav","non-dropping-particle":"","parse-names":false,"suffix":""},{"dropping-particle":"","family":"Hochberg","given":"Yosef","non-dropping-particle":"","parse-names":false,"suffix":""}],"container-title":"Journal of the Royal Statistical Society Series B: Statistical Methodology","id":"ITEM-1","issue":"1","issued":{"date-parts":[["1995"]]},"page":"289-300","title":"Controlling the False Discovery Rate: A Practical and Powerful Approach to Multiple Testing","type":"article-journal","volume":"57"},"uris":["http://www.mendeley.com/documents/?uuid=d2bb6cb1-e2ce-4b6d-b624-99569a3b1100"]}],"mendeley":{"formattedCitation":"&lt;sup&gt;3&lt;/sup&gt;","plainTextFormattedCitation":"3","previouslyFormattedCitation":"&lt;sup&gt;3&lt;/sup&gt;"},"properties":{"noteIndex":0},"schema":"https://github.com/citation-style-language/schema/raw/master/csl-citation.json"}</w:instrText>
      </w:r>
      <w:r>
        <w:rPr>
          <w:rFonts w:eastAsiaTheme="majorEastAsia" w:cs="Calibri"/>
          <w:sz w:val="24"/>
          <w:szCs w:val="28"/>
          <w:lang w:val="en-US"/>
        </w:rPr>
        <w:fldChar w:fldCharType="separate"/>
      </w:r>
      <w:r w:rsidR="00DF170A" w:rsidRPr="00DF170A">
        <w:rPr>
          <w:rFonts w:eastAsiaTheme="majorEastAsia" w:cs="Calibri"/>
          <w:noProof/>
          <w:sz w:val="24"/>
          <w:szCs w:val="28"/>
          <w:vertAlign w:val="superscript"/>
          <w:lang w:val="en-US"/>
        </w:rPr>
        <w:t>3</w:t>
      </w:r>
      <w:r>
        <w:rPr>
          <w:rFonts w:eastAsiaTheme="majorEastAsia" w:cs="Calibri"/>
          <w:sz w:val="24"/>
          <w:szCs w:val="28"/>
          <w:lang w:val="en-US"/>
        </w:rPr>
        <w:fldChar w:fldCharType="end"/>
      </w:r>
      <w:r w:rsidRPr="004A2991">
        <w:rPr>
          <w:rFonts w:eastAsiaTheme="majorEastAsia" w:cs="Calibri"/>
          <w:sz w:val="24"/>
          <w:szCs w:val="28"/>
          <w:lang w:val="en-US"/>
        </w:rPr>
        <w:t xml:space="preserve"> via the “</w:t>
      </w:r>
      <w:proofErr w:type="spellStart"/>
      <w:r w:rsidRPr="004A2991">
        <w:rPr>
          <w:rFonts w:eastAsiaTheme="majorEastAsia" w:cs="Calibri"/>
          <w:sz w:val="24"/>
          <w:szCs w:val="28"/>
          <w:lang w:val="en-US"/>
        </w:rPr>
        <w:t>p.adjust</w:t>
      </w:r>
      <w:proofErr w:type="spellEnd"/>
      <w:r w:rsidRPr="004A2991">
        <w:rPr>
          <w:rFonts w:eastAsiaTheme="majorEastAsia" w:cs="Calibri"/>
          <w:sz w:val="24"/>
          <w:szCs w:val="28"/>
          <w:lang w:val="en-US"/>
        </w:rPr>
        <w:t xml:space="preserve">” function from the “stats” package in R. Significant </w:t>
      </w:r>
      <w:r w:rsidRPr="004E118E">
        <w:rPr>
          <w:rFonts w:eastAsiaTheme="majorEastAsia" w:cs="Calibri"/>
          <w:sz w:val="24"/>
          <w:szCs w:val="28"/>
          <w:lang w:val="en-US"/>
        </w:rPr>
        <w:t xml:space="preserve">proteins were identified based on FDR-adjusted </w:t>
      </w:r>
      <w:r w:rsidRPr="004E118E">
        <w:rPr>
          <w:rFonts w:eastAsiaTheme="majorEastAsia" w:cs="Calibri"/>
          <w:i/>
          <w:sz w:val="24"/>
          <w:szCs w:val="28"/>
          <w:lang w:val="en-US"/>
        </w:rPr>
        <w:t>p</w:t>
      </w:r>
      <w:r w:rsidRPr="004E118E">
        <w:rPr>
          <w:rFonts w:eastAsiaTheme="majorEastAsia" w:cs="Calibri"/>
          <w:sz w:val="24"/>
          <w:szCs w:val="28"/>
          <w:lang w:val="en-US"/>
        </w:rPr>
        <w:t xml:space="preserve"> values, with a significance threshold set at </w:t>
      </w:r>
      <w:r w:rsidR="00011248" w:rsidRPr="004E118E">
        <w:rPr>
          <w:rFonts w:eastAsiaTheme="majorEastAsia" w:cs="Calibri"/>
          <w:sz w:val="24"/>
          <w:szCs w:val="28"/>
          <w:lang w:val="en-US"/>
        </w:rPr>
        <w:t>false discovery rate (</w:t>
      </w:r>
      <w:r w:rsidRPr="004E118E">
        <w:rPr>
          <w:rFonts w:eastAsiaTheme="majorEastAsia" w:cs="Calibri"/>
          <w:sz w:val="24"/>
          <w:szCs w:val="28"/>
          <w:lang w:val="en-US"/>
        </w:rPr>
        <w:t>FDR</w:t>
      </w:r>
      <w:r w:rsidR="00011248" w:rsidRPr="004E118E">
        <w:rPr>
          <w:rFonts w:eastAsiaTheme="majorEastAsia" w:cs="Calibri"/>
          <w:sz w:val="24"/>
          <w:szCs w:val="28"/>
          <w:lang w:val="en-US"/>
        </w:rPr>
        <w:t>)</w:t>
      </w:r>
      <w:r w:rsidRPr="004E118E">
        <w:rPr>
          <w:rFonts w:eastAsiaTheme="majorEastAsia" w:cs="Calibri"/>
          <w:sz w:val="24"/>
          <w:szCs w:val="28"/>
          <w:lang w:val="en-US"/>
        </w:rPr>
        <w:t xml:space="preserve">-adjusted </w:t>
      </w:r>
      <w:r w:rsidRPr="004E118E">
        <w:rPr>
          <w:rFonts w:eastAsiaTheme="majorEastAsia" w:cs="Calibri"/>
          <w:i/>
          <w:sz w:val="24"/>
          <w:szCs w:val="28"/>
          <w:lang w:val="en-US"/>
        </w:rPr>
        <w:t>p</w:t>
      </w:r>
      <w:r w:rsidRPr="004E118E">
        <w:rPr>
          <w:rFonts w:eastAsiaTheme="majorEastAsia" w:cs="Calibri"/>
          <w:sz w:val="24"/>
          <w:szCs w:val="28"/>
          <w:lang w:val="en-US"/>
        </w:rPr>
        <w:t xml:space="preserve"> &lt; 0.05 unless </w:t>
      </w:r>
      <w:r w:rsidR="00664149" w:rsidRPr="004E118E">
        <w:rPr>
          <w:rFonts w:eastAsiaTheme="majorEastAsia" w:cs="Calibri"/>
          <w:sz w:val="24"/>
          <w:szCs w:val="28"/>
          <w:lang w:val="en-US"/>
        </w:rPr>
        <w:t xml:space="preserve">otherwise stated (Suppl. Data </w:t>
      </w:r>
      <w:r w:rsidR="004F11C1" w:rsidRPr="004E118E">
        <w:rPr>
          <w:rFonts w:eastAsiaTheme="majorEastAsia" w:cs="Calibri"/>
          <w:sz w:val="24"/>
          <w:szCs w:val="28"/>
          <w:lang w:val="en-US"/>
        </w:rPr>
        <w:t>2</w:t>
      </w:r>
      <w:r w:rsidR="00664149" w:rsidRPr="004E118E">
        <w:rPr>
          <w:rFonts w:eastAsiaTheme="majorEastAsia" w:cs="Calibri"/>
          <w:sz w:val="24"/>
          <w:szCs w:val="28"/>
          <w:lang w:val="en-US"/>
        </w:rPr>
        <w:t xml:space="preserve"> and </w:t>
      </w:r>
      <w:r w:rsidR="004F11C1" w:rsidRPr="004E118E">
        <w:rPr>
          <w:rFonts w:eastAsiaTheme="majorEastAsia" w:cs="Calibri"/>
          <w:sz w:val="24"/>
          <w:szCs w:val="28"/>
          <w:lang w:val="en-US"/>
        </w:rPr>
        <w:t>8</w:t>
      </w:r>
      <w:r w:rsidR="00664149" w:rsidRPr="004E118E">
        <w:rPr>
          <w:rFonts w:eastAsiaTheme="majorEastAsia" w:cs="Calibri"/>
          <w:sz w:val="24"/>
          <w:szCs w:val="28"/>
          <w:lang w:val="en-US"/>
        </w:rPr>
        <w:t xml:space="preserve">, </w:t>
      </w:r>
      <w:r w:rsidR="00664149" w:rsidRPr="004E118E">
        <w:rPr>
          <w:rFonts w:eastAsiaTheme="majorEastAsia" w:cs="Calibri"/>
          <w:color w:val="000000" w:themeColor="text1"/>
          <w:sz w:val="24"/>
          <w:lang w:val="en-US"/>
        </w:rPr>
        <w:t>Table S1</w:t>
      </w:r>
      <w:r w:rsidRPr="004E118E">
        <w:rPr>
          <w:rFonts w:eastAsiaTheme="majorEastAsia" w:cs="Calibri"/>
          <w:sz w:val="24"/>
          <w:szCs w:val="28"/>
          <w:lang w:val="en-US"/>
        </w:rPr>
        <w:t xml:space="preserve">). </w:t>
      </w:r>
    </w:p>
    <w:p w14:paraId="19A211FC" w14:textId="77777777" w:rsidR="00EB254F" w:rsidRPr="004E118E" w:rsidRDefault="00EB254F" w:rsidP="00EB254F">
      <w:pPr>
        <w:pStyle w:val="Heading3"/>
        <w:rPr>
          <w:lang w:val="en-US"/>
        </w:rPr>
      </w:pPr>
      <w:bookmarkStart w:id="9" w:name="_Toc218605960"/>
      <w:r w:rsidRPr="004E118E">
        <w:rPr>
          <w:lang w:val="en-US"/>
        </w:rPr>
        <w:t>Overlap with GWAS</w:t>
      </w:r>
      <w:bookmarkEnd w:id="9"/>
    </w:p>
    <w:p w14:paraId="7998A093" w14:textId="589631A6" w:rsidR="00EB254F" w:rsidRDefault="00EB254F" w:rsidP="00EB254F">
      <w:pPr>
        <w:autoSpaceDE w:val="0"/>
        <w:autoSpaceDN w:val="0"/>
        <w:adjustRightInd w:val="0"/>
        <w:jc w:val="both"/>
        <w:rPr>
          <w:rFonts w:eastAsiaTheme="majorEastAsia" w:cs="Calibri"/>
          <w:color w:val="000000" w:themeColor="text1"/>
          <w:sz w:val="24"/>
          <w:lang w:val="en-US"/>
        </w:rPr>
      </w:pPr>
      <w:r w:rsidRPr="004E118E">
        <w:rPr>
          <w:rFonts w:eastAsiaTheme="majorEastAsia" w:cs="Calibri"/>
          <w:color w:val="000000" w:themeColor="text1"/>
          <w:sz w:val="24"/>
          <w:lang w:val="en-US"/>
        </w:rPr>
        <w:t xml:space="preserve">We used the NHGRI-EBI Catalog of human genome-wide association studies (GWAS) dataset including 971 associations from 49 studies labeled with the trait 'atrial fibrillation' (EFO_0000275). The mapped genes </w:t>
      </w:r>
      <w:r w:rsidRPr="004E118E">
        <w:rPr>
          <w:sz w:val="24"/>
          <w:lang w:val="en-US"/>
        </w:rPr>
        <w:t>(</w:t>
      </w:r>
      <w:r w:rsidRPr="004E118E">
        <w:rPr>
          <w:i/>
          <w:sz w:val="24"/>
          <w:lang w:val="en-US"/>
        </w:rPr>
        <w:t xml:space="preserve">p </w:t>
      </w:r>
      <w:r w:rsidRPr="004E118E">
        <w:rPr>
          <w:sz w:val="24"/>
          <w:lang w:val="en-US"/>
        </w:rPr>
        <w:t xml:space="preserve">&lt; 5.0E-8) </w:t>
      </w:r>
      <w:r w:rsidRPr="004E118E">
        <w:rPr>
          <w:rFonts w:eastAsiaTheme="majorEastAsia" w:cs="Calibri"/>
          <w:color w:val="000000" w:themeColor="text1"/>
          <w:sz w:val="24"/>
          <w:lang w:val="en-US"/>
        </w:rPr>
        <w:t xml:space="preserve">were compared with the </w:t>
      </w:r>
      <w:r w:rsidRPr="004E118E">
        <w:rPr>
          <w:color w:val="000000" w:themeColor="text1"/>
          <w:sz w:val="24"/>
          <w:szCs w:val="24"/>
          <w:lang w:val="en-US"/>
        </w:rPr>
        <w:t>RA-</w:t>
      </w:r>
      <w:proofErr w:type="spellStart"/>
      <w:r w:rsidRPr="004E118E">
        <w:rPr>
          <w:color w:val="000000" w:themeColor="text1"/>
          <w:sz w:val="24"/>
          <w:szCs w:val="24"/>
          <w:lang w:val="en-US"/>
        </w:rPr>
        <w:t>persAF</w:t>
      </w:r>
      <w:proofErr w:type="spellEnd"/>
      <w:r w:rsidRPr="004E118E">
        <w:rPr>
          <w:color w:val="000000" w:themeColor="text1"/>
          <w:sz w:val="24"/>
          <w:szCs w:val="24"/>
          <w:lang w:val="en-US"/>
        </w:rPr>
        <w:t xml:space="preserve"> </w:t>
      </w:r>
      <w:r w:rsidRPr="004E118E">
        <w:rPr>
          <w:rFonts w:eastAsiaTheme="majorEastAsia" w:cs="Calibri"/>
          <w:color w:val="000000" w:themeColor="text1"/>
          <w:sz w:val="24"/>
          <w:lang w:val="en-US"/>
        </w:rPr>
        <w:t>markers (</w:t>
      </w:r>
      <w:r w:rsidRPr="004E118E">
        <w:rPr>
          <w:rFonts w:eastAsiaTheme="majorEastAsia" w:cs="Calibri"/>
          <w:i/>
          <w:color w:val="000000" w:themeColor="text1"/>
          <w:sz w:val="24"/>
          <w:lang w:val="en-US"/>
        </w:rPr>
        <w:t xml:space="preserve">p </w:t>
      </w:r>
      <w:r w:rsidRPr="004E118E">
        <w:rPr>
          <w:rFonts w:eastAsiaTheme="majorEastAsia" w:cs="Calibri"/>
          <w:color w:val="000000" w:themeColor="text1"/>
          <w:sz w:val="24"/>
          <w:lang w:val="en-US"/>
        </w:rPr>
        <w:t xml:space="preserve">&lt; 0.05) from our dataset (Suppl. Data </w:t>
      </w:r>
      <w:r w:rsidR="004F11C1" w:rsidRPr="004E118E">
        <w:rPr>
          <w:rFonts w:eastAsiaTheme="majorEastAsia" w:cs="Calibri"/>
          <w:color w:val="000000" w:themeColor="text1"/>
          <w:sz w:val="24"/>
          <w:lang w:val="en-US"/>
        </w:rPr>
        <w:t>3</w:t>
      </w:r>
      <w:r w:rsidR="00664149" w:rsidRPr="004E118E">
        <w:rPr>
          <w:rFonts w:eastAsiaTheme="majorEastAsia" w:cs="Calibri"/>
          <w:color w:val="000000" w:themeColor="text1"/>
          <w:sz w:val="24"/>
          <w:lang w:val="en-US"/>
        </w:rPr>
        <w:t>, Table</w:t>
      </w:r>
      <w:r w:rsidR="00664149">
        <w:rPr>
          <w:rFonts w:eastAsiaTheme="majorEastAsia" w:cs="Calibri"/>
          <w:color w:val="000000" w:themeColor="text1"/>
          <w:sz w:val="24"/>
          <w:lang w:val="en-US"/>
        </w:rPr>
        <w:t xml:space="preserve"> S1</w:t>
      </w:r>
      <w:r>
        <w:rPr>
          <w:rFonts w:eastAsiaTheme="majorEastAsia" w:cs="Calibri"/>
          <w:color w:val="000000" w:themeColor="text1"/>
          <w:sz w:val="24"/>
          <w:lang w:val="en-US"/>
        </w:rPr>
        <w:t>)</w:t>
      </w:r>
      <w:r w:rsidRPr="004A2991">
        <w:rPr>
          <w:rFonts w:eastAsiaTheme="majorEastAsia" w:cs="Calibri"/>
          <w:color w:val="000000" w:themeColor="text1"/>
          <w:sz w:val="24"/>
          <w:lang w:val="en-US"/>
        </w:rPr>
        <w:t>. The genes with the same log</w:t>
      </w:r>
      <w:r w:rsidRPr="004A2991">
        <w:rPr>
          <w:rFonts w:eastAsiaTheme="majorEastAsia" w:cs="Calibri"/>
          <w:color w:val="000000" w:themeColor="text1"/>
          <w:sz w:val="24"/>
          <w:vertAlign w:val="subscript"/>
          <w:lang w:val="en-US"/>
        </w:rPr>
        <w:t>2</w:t>
      </w:r>
      <w:r w:rsidRPr="004A2991">
        <w:rPr>
          <w:rFonts w:eastAsiaTheme="majorEastAsia" w:cs="Calibri"/>
          <w:color w:val="000000" w:themeColor="text1"/>
          <w:sz w:val="24"/>
          <w:lang w:val="en-US"/>
        </w:rPr>
        <w:t>FC directionality (up- or down-regulation) across both datasets were plotted for further representation.</w:t>
      </w:r>
    </w:p>
    <w:p w14:paraId="434E0F83" w14:textId="77777777" w:rsidR="0042581D" w:rsidRPr="00252D88" w:rsidRDefault="0042581D" w:rsidP="0042581D">
      <w:pPr>
        <w:pStyle w:val="Heading3"/>
        <w:rPr>
          <w:rFonts w:ascii="Calibri" w:hAnsi="Calibri" w:cs="Calibri"/>
          <w:color w:val="auto"/>
          <w:szCs w:val="28"/>
          <w:lang w:val="en-US"/>
        </w:rPr>
      </w:pPr>
      <w:bookmarkStart w:id="10" w:name="_Toc218605961"/>
      <w:r w:rsidRPr="00252D88">
        <w:rPr>
          <w:lang w:val="en-US"/>
        </w:rPr>
        <w:t>Protein Mass Calculation and Subcellular Atlas Generation</w:t>
      </w:r>
      <w:bookmarkEnd w:id="10"/>
    </w:p>
    <w:p w14:paraId="24B5FF24" w14:textId="2DA9A927" w:rsidR="0042581D" w:rsidRPr="004E118E" w:rsidRDefault="0042581D" w:rsidP="0042581D">
      <w:pPr>
        <w:autoSpaceDE w:val="0"/>
        <w:autoSpaceDN w:val="0"/>
        <w:adjustRightInd w:val="0"/>
        <w:jc w:val="both"/>
        <w:rPr>
          <w:rFonts w:eastAsiaTheme="majorEastAsia" w:cs="Calibri"/>
          <w:color w:val="000000" w:themeColor="text1"/>
          <w:sz w:val="24"/>
          <w:lang w:val="en-US"/>
        </w:rPr>
      </w:pPr>
      <w:r w:rsidRPr="00252D88">
        <w:rPr>
          <w:rFonts w:eastAsiaTheme="majorEastAsia" w:cs="Calibri"/>
          <w:color w:val="000000" w:themeColor="text1"/>
          <w:sz w:val="24"/>
          <w:lang w:val="en-US"/>
        </w:rPr>
        <w:t>The label-free quantification (LFQ) values were log</w:t>
      </w:r>
      <w:r w:rsidRPr="00252D88">
        <w:rPr>
          <w:rFonts w:eastAsiaTheme="majorEastAsia" w:cs="Calibri"/>
          <w:color w:val="000000" w:themeColor="text1"/>
          <w:sz w:val="24"/>
          <w:vertAlign w:val="subscript"/>
          <w:lang w:val="en-US"/>
        </w:rPr>
        <w:t>2</w:t>
      </w:r>
      <w:r w:rsidRPr="00252D88">
        <w:rPr>
          <w:rFonts w:eastAsiaTheme="majorEastAsia" w:cs="Calibri"/>
          <w:color w:val="000000" w:themeColor="text1"/>
          <w:sz w:val="24"/>
          <w:lang w:val="en-US"/>
        </w:rPr>
        <w:t xml:space="preserve">-transformed and technical replicates were averaged. For subsequent analyses, the leading canonical gene IDs and their associated molecular weight (MW) were utilized. Missing MW were manually assigned by averaging available MW provided by </w:t>
      </w:r>
      <w:proofErr w:type="spellStart"/>
      <w:r w:rsidRPr="00252D88">
        <w:rPr>
          <w:rFonts w:eastAsiaTheme="majorEastAsia" w:cs="Calibri"/>
          <w:color w:val="000000" w:themeColor="text1"/>
          <w:sz w:val="24"/>
          <w:lang w:val="en-US"/>
        </w:rPr>
        <w:t>UniProt</w:t>
      </w:r>
      <w:proofErr w:type="spellEnd"/>
      <w:r w:rsidRPr="00252D88">
        <w:rPr>
          <w:rFonts w:eastAsiaTheme="majorEastAsia" w:cs="Calibri"/>
          <w:color w:val="000000" w:themeColor="text1"/>
          <w:sz w:val="24"/>
          <w:lang w:val="en-US"/>
        </w:rPr>
        <w:t xml:space="preserve">. </w:t>
      </w:r>
      <w:r w:rsidR="00D159B2" w:rsidRPr="00252D88">
        <w:rPr>
          <w:rFonts w:eastAsiaTheme="majorEastAsia" w:cs="Calibri"/>
          <w:color w:val="000000" w:themeColor="text1"/>
          <w:sz w:val="24"/>
          <w:lang w:val="en-US"/>
        </w:rPr>
        <w:t>Entries</w:t>
      </w:r>
      <w:r w:rsidRPr="00252D88">
        <w:rPr>
          <w:rFonts w:eastAsiaTheme="majorEastAsia" w:cs="Calibri"/>
          <w:color w:val="000000" w:themeColor="text1"/>
          <w:sz w:val="24"/>
          <w:lang w:val="en-US"/>
        </w:rPr>
        <w:t xml:space="preserve"> with MW less than 100 Da as well as those </w:t>
      </w:r>
      <w:r w:rsidRPr="004E118E">
        <w:rPr>
          <w:rFonts w:eastAsiaTheme="majorEastAsia" w:cs="Calibri"/>
          <w:color w:val="000000" w:themeColor="text1"/>
          <w:sz w:val="24"/>
          <w:lang w:val="en-US"/>
        </w:rPr>
        <w:t xml:space="preserve">categorized under the GO term "blood microparticle" were excluded from the analysis (Suppl. Data </w:t>
      </w:r>
      <w:r w:rsidR="004F11C1" w:rsidRPr="004E118E">
        <w:rPr>
          <w:rFonts w:eastAsiaTheme="majorEastAsia" w:cs="Calibri"/>
          <w:color w:val="000000" w:themeColor="text1"/>
          <w:sz w:val="24"/>
          <w:lang w:val="en-US"/>
        </w:rPr>
        <w:t>6</w:t>
      </w:r>
      <w:r w:rsidRPr="004E118E">
        <w:rPr>
          <w:rFonts w:eastAsiaTheme="majorEastAsia" w:cs="Calibri"/>
          <w:color w:val="000000" w:themeColor="text1"/>
          <w:sz w:val="24"/>
          <w:lang w:val="en-US"/>
        </w:rPr>
        <w:t>, Table S1).</w:t>
      </w:r>
    </w:p>
    <w:p w14:paraId="7509C6CA" w14:textId="1F8D0E04" w:rsidR="0042581D" w:rsidRPr="004E118E" w:rsidRDefault="0042581D" w:rsidP="0042581D">
      <w:pPr>
        <w:autoSpaceDE w:val="0"/>
        <w:autoSpaceDN w:val="0"/>
        <w:adjustRightInd w:val="0"/>
        <w:jc w:val="both"/>
        <w:rPr>
          <w:rFonts w:eastAsiaTheme="majorEastAsia" w:cs="Calibri"/>
          <w:color w:val="000000" w:themeColor="text1"/>
          <w:sz w:val="24"/>
          <w:lang w:val="en-US"/>
        </w:rPr>
      </w:pPr>
      <w:r w:rsidRPr="004E118E">
        <w:rPr>
          <w:rFonts w:eastAsiaTheme="majorEastAsia" w:cs="Calibri"/>
          <w:color w:val="000000" w:themeColor="text1"/>
          <w:sz w:val="24"/>
          <w:lang w:val="en-US"/>
        </w:rPr>
        <w:t>Protein mass (</w:t>
      </w:r>
      <w:proofErr w:type="spellStart"/>
      <w:r w:rsidRPr="004E118E">
        <w:rPr>
          <w:rFonts w:eastAsiaTheme="majorEastAsia" w:cs="Calibri"/>
          <w:color w:val="000000" w:themeColor="text1"/>
          <w:sz w:val="24"/>
          <w:lang w:val="en-US"/>
        </w:rPr>
        <w:t>pg</w:t>
      </w:r>
      <w:proofErr w:type="spellEnd"/>
      <w:r w:rsidRPr="004E118E">
        <w:rPr>
          <w:rFonts w:eastAsiaTheme="majorEastAsia" w:cs="Calibri"/>
          <w:color w:val="000000" w:themeColor="text1"/>
          <w:sz w:val="24"/>
          <w:lang w:val="en-US"/>
        </w:rPr>
        <w:t>) was recalculated from the estimated protein concentration (</w:t>
      </w:r>
      <w:proofErr w:type="spellStart"/>
      <w:r w:rsidRPr="004E118E">
        <w:rPr>
          <w:rFonts w:eastAsiaTheme="majorEastAsia" w:cs="Calibri"/>
          <w:color w:val="000000" w:themeColor="text1"/>
          <w:sz w:val="24"/>
          <w:lang w:val="en-US"/>
        </w:rPr>
        <w:t>nM</w:t>
      </w:r>
      <w:proofErr w:type="spellEnd"/>
      <w:r w:rsidRPr="004E118E">
        <w:rPr>
          <w:rFonts w:eastAsiaTheme="majorEastAsia" w:cs="Calibri"/>
          <w:color w:val="000000" w:themeColor="text1"/>
          <w:sz w:val="24"/>
          <w:lang w:val="en-US"/>
        </w:rPr>
        <w:t>) which was derived from LFQ intensity using the proteomic ruler plug-in</w:t>
      </w:r>
      <w:r w:rsidRPr="004E118E">
        <w:rPr>
          <w:rFonts w:eastAsiaTheme="majorEastAsia" w:cs="Calibri"/>
          <w:color w:val="000000" w:themeColor="text1"/>
          <w:sz w:val="24"/>
          <w:lang w:val="en-US"/>
        </w:rPr>
        <w:fldChar w:fldCharType="begin" w:fldLock="1"/>
      </w:r>
      <w:r w:rsidR="008B7913" w:rsidRPr="004E118E">
        <w:rPr>
          <w:rFonts w:eastAsiaTheme="majorEastAsia" w:cs="Calibri"/>
          <w:color w:val="000000" w:themeColor="text1"/>
          <w:sz w:val="24"/>
          <w:lang w:val="en-US"/>
        </w:rPr>
        <w:instrText>ADDIN CSL_CITATION {"citationItems":[{"id":"ITEM-1","itemData":{"DOI":"10.1074/mcp.M113.037309","ISSN":"15359484","abstract":"Absolute protein quantification using mass spectrometry (MS)-based proteomics delivers protein concentrations or copy numbers per cell. Existing methodologies typically require a combination of isotope-labeled spike-in references, cell counting, and protein concentration measurements. Here we present a novel method that delivers similar quantitative results directly from deep eukaryotic proteome datasets without any additional experimental steps. We show that the MS signal of histones can be used as a \"proteomic ruler\" because it is proportional to the amount of DNA in the sample, which in turn depends on the number of cells. As a result, our proteomic ruler approach adds an absolute scale to the MS readout and allows estimation of the copy numbers of individual proteins per cell. We compare our protein quantifications with values derived via the use of stable isotope labeling by amino acids in cell culture and protein epitope signature tags in a method that combines spike-in protein fragment standards with precise isotope label quantification. The proteomic ruler approach yields quantitative readouts that are in remarkably good agreement with results from the precision method. We attribute this surprising result to the fact that the proteomic ruler approach omits error-prone steps such as cell counting or protein concentration measurements. The proteomic ruler approach is readily applicable to any deep eukaryotic proteome dataset - even in retrospective analysis - and we demonstrate its usefulness with a series of mouse organ proteomes.","author":[{"dropping-particle":"","family":"Wiśniewski","given":"Jacek R.","non-dropping-particle":"","parse-names":false,"suffix":""},{"dropping-particle":"","family":"Hein","given":"Marco Y.","non-dropping-particle":"","parse-names":false,"suffix":""},{"dropping-particle":"","family":"Cox","given":"Jürgen","non-dropping-particle":"","parse-names":false,"suffix":""},{"dropping-particle":"","family":"Mann","given":"Matthias","non-dropping-particle":"","parse-names":false,"suffix":""}],"container-title":"Molecular and Cellular Proteomics","id":"ITEM-1","issue":"12","issued":{"date-parts":[["2014"]]},"title":"A \"proteomic ruler\" for protein copy number and concentration estimation without spike-in standards","type":"article-journal","volume":"13"},"uris":["http://www.mendeley.com/documents/?uuid=7aeb77d4-f54f-3912-9a52-dd2e15cab743"]}],"mendeley":{"formattedCitation":"&lt;sup&gt;4&lt;/sup&gt;","plainTextFormattedCitation":"4","previouslyFormattedCitation":"&lt;sup&gt;4&lt;/sup&gt;"},"properties":{"noteIndex":0},"schema":"https://github.com/citation-style-language/schema/raw/master/csl-citation.json"}</w:instrText>
      </w:r>
      <w:r w:rsidRPr="004E118E">
        <w:rPr>
          <w:rFonts w:eastAsiaTheme="majorEastAsia" w:cs="Calibri"/>
          <w:color w:val="000000" w:themeColor="text1"/>
          <w:sz w:val="24"/>
          <w:lang w:val="en-US"/>
        </w:rPr>
        <w:fldChar w:fldCharType="separate"/>
      </w:r>
      <w:r w:rsidR="008B7913" w:rsidRPr="004E118E">
        <w:rPr>
          <w:rFonts w:eastAsiaTheme="majorEastAsia" w:cs="Calibri"/>
          <w:noProof/>
          <w:color w:val="000000" w:themeColor="text1"/>
          <w:sz w:val="24"/>
          <w:vertAlign w:val="superscript"/>
          <w:lang w:val="en-US"/>
        </w:rPr>
        <w:t>4</w:t>
      </w:r>
      <w:r w:rsidRPr="004E118E">
        <w:rPr>
          <w:rFonts w:eastAsiaTheme="majorEastAsia" w:cs="Calibri"/>
          <w:color w:val="000000" w:themeColor="text1"/>
          <w:sz w:val="24"/>
          <w:lang w:val="en-US"/>
        </w:rPr>
        <w:fldChar w:fldCharType="end"/>
      </w:r>
      <w:r w:rsidRPr="004E118E">
        <w:rPr>
          <w:rFonts w:eastAsiaTheme="majorEastAsia" w:cs="Calibri"/>
          <w:color w:val="000000" w:themeColor="text1"/>
          <w:sz w:val="24"/>
          <w:lang w:val="en-US"/>
        </w:rPr>
        <w:t xml:space="preserve"> 1.0.0.0 for Perseus. The parameters chosen were the scaling mode “Histone proteomic ruler” with ploidy of "2" and a total cellular protein concentration of 200 g/L. The list of histones identified by the software is available at Suppl. Data </w:t>
      </w:r>
      <w:r w:rsidR="004F11C1" w:rsidRPr="004E118E">
        <w:rPr>
          <w:rFonts w:eastAsiaTheme="majorEastAsia" w:cs="Calibri"/>
          <w:color w:val="000000" w:themeColor="text1"/>
          <w:sz w:val="24"/>
          <w:lang w:val="en-US"/>
        </w:rPr>
        <w:t>6</w:t>
      </w:r>
      <w:r w:rsidRPr="004E118E">
        <w:rPr>
          <w:rFonts w:eastAsiaTheme="majorEastAsia" w:cs="Calibri"/>
          <w:color w:val="000000" w:themeColor="text1"/>
          <w:sz w:val="24"/>
          <w:lang w:val="en-US"/>
        </w:rPr>
        <w:t>, Table S1.</w:t>
      </w:r>
    </w:p>
    <w:p w14:paraId="234E4E6F" w14:textId="0E9DD0B9" w:rsidR="0042581D" w:rsidRPr="0042581D" w:rsidRDefault="0042581D" w:rsidP="00EB254F">
      <w:pPr>
        <w:autoSpaceDE w:val="0"/>
        <w:autoSpaceDN w:val="0"/>
        <w:adjustRightInd w:val="0"/>
        <w:jc w:val="both"/>
        <w:rPr>
          <w:rFonts w:eastAsiaTheme="majorEastAsia" w:cs="Calibri"/>
          <w:color w:val="000000" w:themeColor="text1"/>
          <w:lang w:val="en-US"/>
        </w:rPr>
      </w:pPr>
      <w:r w:rsidRPr="004E118E">
        <w:rPr>
          <w:rFonts w:eastAsiaTheme="majorEastAsia" w:cs="Calibri"/>
          <w:color w:val="000000" w:themeColor="text1"/>
          <w:sz w:val="24"/>
          <w:lang w:val="en-US"/>
        </w:rPr>
        <w:t>A subcellular localization table was compiled by consolidating subcellular localization data from the Human Protein Atlas (v.23.0), publicly available data from published studies</w:t>
      </w:r>
      <w:r w:rsidRPr="004E118E">
        <w:rPr>
          <w:rFonts w:eastAsiaTheme="majorEastAsia" w:cs="Calibri"/>
          <w:color w:val="000000" w:themeColor="text1"/>
          <w:sz w:val="24"/>
          <w:lang w:val="en-US"/>
        </w:rPr>
        <w:fldChar w:fldCharType="begin" w:fldLock="1"/>
      </w:r>
      <w:r w:rsidR="008B7913" w:rsidRPr="004E118E">
        <w:rPr>
          <w:rFonts w:eastAsiaTheme="majorEastAsia" w:cs="Calibri"/>
          <w:color w:val="000000" w:themeColor="text1"/>
          <w:sz w:val="24"/>
          <w:lang w:val="en-US"/>
        </w:rPr>
        <w:instrText>ADDIN CSL_CITATION {"citationItems":[{"id":"ITEM-1","itemData":{"DOI":"10.1126/science.aal3321","ISSN":"10959203","abstract":"Resolving the spatial distribution of the human proteome at a subcellular level can greatly increase our understanding of human biology and disease. Here we present a comprehensive image-based map of subcellular protein distribution, the Cell Atlas, built by integrating transcriptomics and antibody-based immunofluorescence microscopy with validation by mass spectrometry. Mapping the in situ localization of 12,003 human proteins at a single-cell level to 30 subcellular structures enabled the definition of the proteomes of 13 major organelles. Exploration of the proteomes revealed single-cell variations in abundance or spatial distribution and localization of about half of the proteins to multiple compartments. This subcellular map can be used to refine existing protein-protein interaction networks and provides an important resource to deconvolute the highly complex architecture of the human cell.","author":[{"dropping-particle":"","family":"Thul","given":"Peter J.","non-dropping-particle":"","parse-names":false,"suffix":""},{"dropping-particle":"","family":"Akesson","given":"Lovisa","non-dropping-particle":"","parse-names":false,"suffix":""},{"dropping-particle":"","family":"Wiking","given":"Mikaela","non-dropping-particle":"","parse-names":false,"suffix":""},{"dropping-particle":"","family":"Mahdessian","given":"Diana","non-dropping-particle":"","parse-names":false,"suffix":""},{"dropping-particle":"","family":"Geladaki","given":"Aikaterini","non-dropping-particle":"","parse-names":false,"suffix":""},{"dropping-particle":"","family":"Ait Blal","given":"Hammou","non-dropping-particle":"","parse-names":false,"suffix":""},{"dropping-particle":"","family":"Alm","given":"Tove","non-dropping-particle":"","parse-names":false,"suffix":""},{"dropping-particle":"","family":"Asplund","given":"Anna","non-dropping-particle":"","parse-names":false,"suffix":""},{"dropping-particle":"","family":"Björk","given":"Lars","non-dropping-particle":"","parse-names":false,"suffix":""},{"dropping-particle":"","family":"Breckels","given":"Lisa M.","non-dropping-particle":"","parse-names":false,"suffix":""},{"dropping-particle":"","family":"Bäckström","given":"Anna","non-dropping-particle":"","parse-names":false,"suffix":""},{"dropping-particle":"","family":"Danielsson","given":"Frida","non-dropping-particle":"","parse-names":false,"suffix":""},{"dropping-particle":"","family":"Fagerberg","given":"Linn","non-dropping-particle":"","parse-names":false,"suffix":""},{"dropping-particle":"","family":"Fall","given":"Jenny","non-dropping-particle":"","parse-names":false,"suffix":""},{"dropping-particle":"","family":"Gatto","given":"Laurent","non-dropping-particle":"","parse-names":false,"suffix":""},{"dropping-particle":"","family":"Gnann","given":"Christian","non-dropping-particle":"","parse-names":false,"suffix":""},{"dropping-particle":"","family":"Hober","given":"Sophia","non-dropping-particle":"","parse-names":false,"suffix":""},{"dropping-particle":"","family":"Hjelmare","given":"Martin","non-dropping-particle":"","parse-names":false,"suffix":""},{"dropping-particle":"","family":"Johansson","given":"Fredric","non-dropping-particle":"","parse-names":false,"suffix":""},{"dropping-particle":"","family":"Lee","given":"Sunjae","non-dropping-particle":"","parse-names":false,"suffix":""},{"dropping-particle":"","family":"Lindskog","given":"Cecilia","non-dropping-particle":"","parse-names":false,"suffix":""},{"dropping-particle":"","family":"Mulder","given":"Jan","non-dropping-particle":"","parse-names":false,"suffix":""},{"dropping-particle":"","family":"Mulvey","given":"Claire M.","non-dropping-particle":"","parse-names":false,"suffix":""},{"dropping-particle":"","family":"Nilsson","given":"Peter","non-dropping-particle":"","parse-names":false,"suffix":""},{"dropping-particle":"","family":"Oksvold","given":"Per","non-dropping-particle":"","parse-names":false,"suffix":""},{"dropping-particle":"","family":"Rockberg","given":"Johan","non-dropping-particle":"","parse-names":false,"suffix":""},{"dropping-particle":"","family":"Schutten","given":"Rutger","non-dropping-particle":"","parse-names":false,"suffix":""},{"dropping-particle":"","family":"Schwenk","given":"Jochen M.","non-dropping-particle":"","parse-names":false,"suffix":""},{"dropping-particle":"","family":"Sivertsson","given":"Asa","non-dropping-particle":"","parse-names":false,"suffix":""},{"dropping-particle":"","family":"Sjöstedt","given":"Evelina","non-dropping-particle":"","parse-names":false,"suffix":""},{"dropping-particle":"","family":"Skogs","given":"Marie","non-dropping-particle":"","parse-names":false,"suffix":""},{"dropping-particle":"","family":"Stadler","given":"Charlotte","non-dropping-particle":"","parse-names":false,"suffix":""},{"dropping-particle":"","family":"Sullivan","given":"Devin P.","non-dropping-particle":"","parse-names":false,"suffix":""},{"dropping-particle":"","family":"Tegel","given":"Hanna","non-dropping-particle":"","parse-names":false,"suffix":""},{"dropping-particle":"","family":"Winsnes","given":"Casper","non-dropping-particle":"","parse-names":false,"suffix":""},{"dropping-particle":"","family":"Zhang","given":"Cheng","non-dropping-particle":"","parse-names":false,"suffix":""},{"dropping-particle":"","family":"Zwahlen","given":"Martin","non-dropping-particle":"","parse-names":false,"suffix":""},{"dropping-particle":"","family":"Mardinoglu","given":"Adil","non-dropping-particle":"","parse-names":false,"suffix":""},{"dropping-particle":"","family":"Pontén","given":"Fredrik","non-dropping-particle":"","parse-names":false,"suffix":""},{"dropping-particle":"","family":"Feilitzen","given":"Kalle","non-dropping-particle":"Von","parse-names":false,"suffix":""},{"dropping-particle":"","family":"Lilley","given":"Kathryn S.","non-dropping-particle":"","parse-names":false,"suffix":""},{"dropping-particle":"","family":"Uhlén","given":"Mathias","non-dropping-particle":"","parse-names":false,"suffix":""},{"dropping-particle":"","family":"Lundberg","given":"Emma","non-dropping-particle":"","parse-names":false,"suffix":""}],"container-title":"Science","id":"ITEM-1","issue":"6340","issued":{"date-parts":[["2017"]]},"title":"A subcellular map of the human proteome","type":"article-journal","volume":"356"},"uris":["http://www.mendeley.com/documents/?uuid=5a9288ef-9507-3f3f-9a13-e21986e16640"]},{"id":"ITEM-2","itemData":{"DOI":"10.1038/s41467-017-01747-2","ISSN":"20411723","abstract":"The heart is a central human organ and its diseases are the leading cause of death worldwide, but an in-depth knowledge of the identity and quantity of its constituent proteins is still lacking. Here, we determine the healthy human heart proteome by measuring 16 anatomical regions and three major cardiac cell types by high-resolution mass spectrometry-based proteomics. From low microgram sample amounts, we quantify over 10,700 proteins in this high dynamic range tissue. We combine copy numbers per cell with protein organellar assignments to build a model of the heart proteome at the subcellular level. Analysis of cardiac fibroblasts identifies cellular receptors as potential cell surface markers. Application of our heart map to atrial fibrillation reveals individually distinct mitochondrial dysfunctions. The heart map is available at maxqb.biochem.mpg.de as a resource for future analyses of normal heart function and disease.","author":[{"dropping-particle":"","family":"Doll","given":"Sophia","non-dropping-particle":"","parse-names":false,"suffix":""},{"dropping-particle":"","family":"Dreßen","given":"Martina","non-dropping-particle":"","parse-names":false,"suffix":""},{"dropping-particle":"","family":"Geyer","given":"Philipp E.","non-dropping-particle":"","parse-names":false,"suffix":""},{"dropping-particle":"","family":"Itzhak","given":"Daniel N.","non-dropping-particle":"","parse-names":false,"suffix":""},{"dropping-particle":"","family":"Braun","given":"Christian","non-dropping-particle":"","parse-names":false,"suffix":""},{"dropping-particle":"","family":"Doppler","given":"Stefanie A.","non-dropping-particle":"","parse-names":false,"suffix":""},{"dropping-particle":"","family":"Meier","given":"Florian","non-dropping-particle":"","parse-names":false,"suffix":""},{"dropping-particle":"","family":"Deutsch","given":"Marcus Andre","non-dropping-particle":"","parse-names":false,"suffix":""},{"dropping-particle":"","family":"Lahm","given":"Harald","non-dropping-particle":"","parse-names":false,"suffix":""},{"dropping-particle":"","family":"Lange","given":"Rüdiger","non-dropping-particle":"","parse-names":false,"suffix":""},{"dropping-particle":"","family":"Krane","given":"Markus","non-dropping-particle":"","parse-names":false,"suffix":""},{"dropping-particle":"","family":"Mann","given":"Matthias","non-dropping-particle":"","parse-names":false,"suffix":""}],"container-title":"Nature Communications","id":"ITEM-2","issue":"1","issued":{"date-parts":[["2017"]]},"title":"Region and cell-type resolved quantitative proteomic map of the human heart","type":"article-journal","volume":"8"},"uris":["http://www.mendeley.com/documents/?uuid=af5bfa9a-22b9-3e1d-bf0f-714e9789938e"]},{"id":"ITEM-3","itemData":{"DOI":"10.7554/eLife.16950","ISSN":"2050084X","abstract":"Subcellular localization critically influences protein function, and cells control protein localization to regulate biological processes. We have developed and applied Dynamic Organellar Maps, a proteomic method that allows global mapping of protein translocation events. We initially used maps statically to generate a database with localization and absolute copy number information for over 8700 proteins from HeLa cells, approaching comprehensive coverage. All major organelles were resolved, with exceptional prediction accuracy (estimated at &gt;92%). Combining spatial and abundance information yielded an unprecedented quantitative view of HeLa cell anatomy and organellar composition, at the protein level. We subsequently demonstrated the dynamic capabilities of the approach by capturing translocation events following EGF stimulation, which we integrated into a quantitative model. Dynamic Organellar Maps enable the proteome- wide analysis of physiological protein movements, without requiring any reagents specific to the investigated process, and will thus be widely applicable in cell biology.","author":[{"dropping-particle":"","family":"Itzhak","given":"Daniel N.","non-dropping-particle":"","parse-names":false,"suffix":""},{"dropping-particle":"","family":"Tyanova","given":"Stefka","non-dropping-particle":"","parse-names":false,"suffix":""},{"dropping-particle":"","family":"Cox","given":"Jürgen","non-dropping-particle":"","parse-names":false,"suffix":""},{"dropping-particle":"","family":"Borner","given":"Georg H.H.","non-dropping-particle":"","parse-names":false,"suffix":""}],"container-title":"eLife","id":"ITEM-3","issue":"JUN2016","issued":{"date-parts":[["2016"]]},"title":"Global, quantitative and dynamic mapping of protein subcellular localization","type":"article-journal","volume":"5"},"uris":["http://www.mendeley.com/documents/?uuid=334578e4-fb54-3b27-b29d-ef7acb591766"]}],"mendeley":{"formattedCitation":"&lt;sup&gt;5–7&lt;/sup&gt;","plainTextFormattedCitation":"5–7","previouslyFormattedCitation":"&lt;sup&gt;5–7&lt;/sup&gt;"},"properties":{"noteIndex":0},"schema":"https://github.com/citation-style-language/schema/raw/master/csl-citation.json"}</w:instrText>
      </w:r>
      <w:r w:rsidRPr="004E118E">
        <w:rPr>
          <w:rFonts w:eastAsiaTheme="majorEastAsia" w:cs="Calibri"/>
          <w:color w:val="000000" w:themeColor="text1"/>
          <w:sz w:val="24"/>
          <w:lang w:val="en-US"/>
        </w:rPr>
        <w:fldChar w:fldCharType="separate"/>
      </w:r>
      <w:r w:rsidR="008B7913" w:rsidRPr="004E118E">
        <w:rPr>
          <w:rFonts w:eastAsiaTheme="majorEastAsia" w:cs="Calibri"/>
          <w:noProof/>
          <w:color w:val="000000" w:themeColor="text1"/>
          <w:sz w:val="24"/>
          <w:vertAlign w:val="superscript"/>
          <w:lang w:val="en-US"/>
        </w:rPr>
        <w:t>5–7</w:t>
      </w:r>
      <w:r w:rsidRPr="004E118E">
        <w:rPr>
          <w:rFonts w:eastAsiaTheme="majorEastAsia" w:cs="Calibri"/>
          <w:color w:val="000000" w:themeColor="text1"/>
          <w:sz w:val="24"/>
          <w:lang w:val="en-US"/>
        </w:rPr>
        <w:fldChar w:fldCharType="end"/>
      </w:r>
      <w:r w:rsidRPr="004E118E">
        <w:rPr>
          <w:rFonts w:eastAsiaTheme="majorEastAsia" w:cs="Calibri"/>
          <w:color w:val="000000" w:themeColor="text1"/>
          <w:sz w:val="24"/>
          <w:lang w:val="en-US"/>
        </w:rPr>
        <w:t xml:space="preserve"> </w:t>
      </w:r>
      <w:r w:rsidRPr="004E118E">
        <w:rPr>
          <w:rFonts w:cs="Calibri"/>
          <w:sz w:val="24"/>
        </w:rPr>
        <w:t xml:space="preserve">(based on leading gene ID), and manual annotations from </w:t>
      </w:r>
      <w:proofErr w:type="spellStart"/>
      <w:r w:rsidRPr="004E118E">
        <w:rPr>
          <w:rFonts w:cs="Calibri"/>
          <w:sz w:val="24"/>
        </w:rPr>
        <w:t>UniProt</w:t>
      </w:r>
      <w:proofErr w:type="spellEnd"/>
      <w:r w:rsidRPr="004E118E">
        <w:rPr>
          <w:rFonts w:cs="Calibri"/>
          <w:sz w:val="24"/>
        </w:rPr>
        <w:t xml:space="preserve"> (based on leading protein group). This resulted in 97% of proteins being assigned to the respective compartment. </w:t>
      </w:r>
      <w:r w:rsidRPr="004E118E">
        <w:rPr>
          <w:rFonts w:eastAsiaTheme="majorEastAsia" w:cs="Calibri"/>
          <w:color w:val="000000" w:themeColor="text1"/>
          <w:sz w:val="24"/>
          <w:lang w:val="en-US"/>
        </w:rPr>
        <w:t xml:space="preserve">This enabled the calculation of protein mass for each subcellular compartment and its percentage contribution to the total protein mass (Suppl. Data </w:t>
      </w:r>
      <w:r w:rsidR="004F11C1" w:rsidRPr="004E118E">
        <w:rPr>
          <w:rFonts w:eastAsiaTheme="majorEastAsia" w:cs="Calibri"/>
          <w:color w:val="000000" w:themeColor="text1"/>
          <w:sz w:val="24"/>
          <w:lang w:val="en-US"/>
        </w:rPr>
        <w:t>6</w:t>
      </w:r>
      <w:r w:rsidRPr="004E118E">
        <w:rPr>
          <w:rFonts w:eastAsiaTheme="majorEastAsia" w:cs="Calibri"/>
          <w:color w:val="000000" w:themeColor="text1"/>
          <w:sz w:val="24"/>
          <w:lang w:val="en-US"/>
        </w:rPr>
        <w:t>, Table</w:t>
      </w:r>
      <w:r w:rsidRPr="00252D88">
        <w:rPr>
          <w:rFonts w:eastAsiaTheme="majorEastAsia" w:cs="Calibri"/>
          <w:color w:val="000000" w:themeColor="text1"/>
          <w:sz w:val="24"/>
          <w:lang w:val="en-US"/>
        </w:rPr>
        <w:t xml:space="preserve"> S1).</w:t>
      </w:r>
    </w:p>
    <w:p w14:paraId="58AB460A" w14:textId="121059AC" w:rsidR="00011248" w:rsidRPr="00011248" w:rsidRDefault="00EB254F" w:rsidP="00011248">
      <w:pPr>
        <w:pStyle w:val="Heading3"/>
      </w:pPr>
      <w:bookmarkStart w:id="11" w:name="_Toc218605962"/>
      <w:r>
        <w:lastRenderedPageBreak/>
        <w:t>Principal Component Analysis</w:t>
      </w:r>
      <w:bookmarkEnd w:id="11"/>
    </w:p>
    <w:p w14:paraId="2D98BC9E" w14:textId="689554FC" w:rsidR="00EB254F" w:rsidRPr="004213C2" w:rsidRDefault="00011248" w:rsidP="00EB254F">
      <w:pPr>
        <w:autoSpaceDE w:val="0"/>
        <w:autoSpaceDN w:val="0"/>
        <w:adjustRightInd w:val="0"/>
        <w:jc w:val="both"/>
        <w:rPr>
          <w:sz w:val="24"/>
        </w:rPr>
      </w:pPr>
      <w:r>
        <w:rPr>
          <w:sz w:val="24"/>
        </w:rPr>
        <w:t>PCA</w:t>
      </w:r>
      <w:r w:rsidR="00EB254F" w:rsidRPr="004213C2">
        <w:rPr>
          <w:sz w:val="24"/>
        </w:rPr>
        <w:t xml:space="preserve"> was conducted using Perseus v.1.6.15.0</w:t>
      </w:r>
      <w:r w:rsidR="00EB254F" w:rsidRPr="004213C2">
        <w:rPr>
          <w:sz w:val="24"/>
        </w:rPr>
        <w:fldChar w:fldCharType="begin" w:fldLock="1"/>
      </w:r>
      <w:r w:rsidR="008B7913">
        <w:rPr>
          <w:sz w:val="24"/>
        </w:rPr>
        <w:instrText>ADDIN CSL_CITATION {"citationItems":[{"id":"ITEM-1","itemData":{"DOI":"10.1038/nmeth.3901","ISSN":"15487105","PMID":"27348712","abstract":"A main bottleneck in proteomics is the downstream biological analysis of highly multivariate quantitative protein abundance data generated using mass-spectrometry-based analysis. We developed the Perseus software platform (http://www.perseus-framework.org) to support biological and biomedical researchers in interpreting protein quantification, interaction and post-translational modification data. Perseus contains a comprehensive portfolio of statistical tools for high-dimensional omics data analysis covering normalization, pattern recognition, time-series analysis, cross-omics comparisons and multiple-hypothesis testing. A machine learning module supports the classification and validation of patient groups for diagnosis and prognosis, and it also detects predictive protein signatures. Central to Perseus is a user-friendly, interactive workflow environment that provides complete documentation of computational methods used in a publication. All activities in Perseus are realized as plugins, and users can extend the software by programming their own, which can be shared through a plugin store. We anticipate that Perseus's arsenal of algorithms and its intuitive usability will empower interdisciplinary analysis of complex large data sets.","author":[{"dropping-particle":"","family":"Tyanova","given":"Stefka","non-dropping-particle":"","parse-names":false,"suffix":""},{"dropping-particle":"","family":"Temu","given":"Tikira","non-dropping-particle":"","parse-names":false,"suffix":""},{"dropping-particle":"","family":"Sinitcyn","given":"Pavel","non-dropping-particle":"","parse-names":false,"suffix":""},{"dropping-particle":"","family":"Carlson","given":"Arthur","non-dropping-particle":"","parse-names":false,"suffix":""},{"dropping-particle":"","family":"Hein","given":"Marco Y.","non-dropping-particle":"","parse-names":false,"suffix":""},{"dropping-particle":"","family":"Geiger","given":"Tamar","non-dropping-particle":"","parse-names":false,"suffix":""},{"dropping-particle":"","family":"Mann","given":"Matthias","non-dropping-particle":"","parse-names":false,"suffix":""},{"dropping-particle":"","family":"Cox","given":"Jürgen","non-dropping-particle":"","parse-names":false,"suffix":""}],"container-title":"Nature Methods","id":"ITEM-1","issue":"9","issued":{"date-parts":[["2016"]]},"page":"731-740","title":"The Perseus computational platform for comprehensive analysis of (prote)omics data","type":"article-journal","volume":"13"},"uris":["http://www.mendeley.com/documents/?uuid=5c2f0533-b84e-4c0e-8a53-12bac739ea4b"]}],"mendeley":{"formattedCitation":"&lt;sup&gt;8&lt;/sup&gt;","plainTextFormattedCitation":"8","previouslyFormattedCitation":"&lt;sup&gt;8&lt;/sup&gt;"},"properties":{"noteIndex":0},"schema":"https://github.com/citation-style-language/schema/raw/master/csl-citation.json"}</w:instrText>
      </w:r>
      <w:r w:rsidR="00EB254F" w:rsidRPr="004213C2">
        <w:rPr>
          <w:sz w:val="24"/>
        </w:rPr>
        <w:fldChar w:fldCharType="separate"/>
      </w:r>
      <w:r w:rsidR="008B7913" w:rsidRPr="008B7913">
        <w:rPr>
          <w:noProof/>
          <w:sz w:val="24"/>
          <w:vertAlign w:val="superscript"/>
        </w:rPr>
        <w:t>8</w:t>
      </w:r>
      <w:r w:rsidR="00EB254F" w:rsidRPr="004213C2">
        <w:rPr>
          <w:sz w:val="24"/>
        </w:rPr>
        <w:fldChar w:fldCharType="end"/>
      </w:r>
      <w:r w:rsidR="00EB254F" w:rsidRPr="004213C2">
        <w:rPr>
          <w:sz w:val="24"/>
        </w:rPr>
        <w:t>. The raw data was log</w:t>
      </w:r>
      <w:r w:rsidR="00EB254F" w:rsidRPr="004213C2">
        <w:rPr>
          <w:sz w:val="24"/>
          <w:vertAlign w:val="subscript"/>
        </w:rPr>
        <w:t>2</w:t>
      </w:r>
      <w:r w:rsidR="00EB254F" w:rsidRPr="004213C2">
        <w:rPr>
          <w:sz w:val="24"/>
        </w:rPr>
        <w:t>-transformed and technical replicates were averaged to obtain mean value per biological sample which were subjected to PCA analysis proteins.</w:t>
      </w:r>
    </w:p>
    <w:p w14:paraId="5788B677" w14:textId="77777777" w:rsidR="00EB254F" w:rsidRPr="004A2991" w:rsidRDefault="00EB254F" w:rsidP="00EB254F">
      <w:pPr>
        <w:pStyle w:val="Heading3"/>
      </w:pPr>
      <w:bookmarkStart w:id="12" w:name="_Toc218605963"/>
      <w:r>
        <w:t>Volcano Plot Analysis</w:t>
      </w:r>
      <w:bookmarkEnd w:id="12"/>
    </w:p>
    <w:p w14:paraId="32CCCE7F" w14:textId="77777777" w:rsidR="00EB254F" w:rsidRDefault="00EB254F" w:rsidP="00EB254F">
      <w:pPr>
        <w:autoSpaceDE w:val="0"/>
        <w:autoSpaceDN w:val="0"/>
        <w:adjustRightInd w:val="0"/>
        <w:jc w:val="both"/>
        <w:rPr>
          <w:sz w:val="24"/>
        </w:rPr>
      </w:pPr>
      <w:r w:rsidRPr="004A2991">
        <w:rPr>
          <w:sz w:val="24"/>
        </w:rPr>
        <w:t>The log</w:t>
      </w:r>
      <w:r w:rsidRPr="004A2991">
        <w:rPr>
          <w:sz w:val="24"/>
          <w:vertAlign w:val="subscript"/>
        </w:rPr>
        <w:t>2</w:t>
      </w:r>
      <w:r w:rsidRPr="004A2991">
        <w:rPr>
          <w:sz w:val="24"/>
        </w:rPr>
        <w:t xml:space="preserve">FC and FDR-adjusted </w:t>
      </w:r>
      <w:r w:rsidRPr="004A2991">
        <w:rPr>
          <w:i/>
          <w:sz w:val="24"/>
        </w:rPr>
        <w:t>p</w:t>
      </w:r>
      <w:r w:rsidRPr="004A2991">
        <w:rPr>
          <w:sz w:val="24"/>
        </w:rPr>
        <w:t xml:space="preserve"> values obtain</w:t>
      </w:r>
      <w:r>
        <w:rPr>
          <w:sz w:val="24"/>
        </w:rPr>
        <w:t>ed via</w:t>
      </w:r>
      <w:r w:rsidRPr="004A2991">
        <w:rPr>
          <w:sz w:val="24"/>
        </w:rPr>
        <w:t xml:space="preserve"> </w:t>
      </w:r>
      <w:r>
        <w:rPr>
          <w:sz w:val="24"/>
        </w:rPr>
        <w:t xml:space="preserve">the </w:t>
      </w:r>
      <w:r w:rsidRPr="004A2991">
        <w:rPr>
          <w:sz w:val="24"/>
        </w:rPr>
        <w:t>GEE model were used to generate volcano plots. Proteins with log</w:t>
      </w:r>
      <w:r w:rsidRPr="004A2991">
        <w:rPr>
          <w:sz w:val="24"/>
          <w:vertAlign w:val="subscript"/>
        </w:rPr>
        <w:t>2</w:t>
      </w:r>
      <w:r w:rsidRPr="004A2991">
        <w:rPr>
          <w:sz w:val="24"/>
        </w:rPr>
        <w:t>FC</w:t>
      </w:r>
      <w:r>
        <w:rPr>
          <w:sz w:val="24"/>
        </w:rPr>
        <w:t xml:space="preserve"> </w:t>
      </w:r>
      <w:r w:rsidRPr="004A2991">
        <w:rPr>
          <w:sz w:val="24"/>
        </w:rPr>
        <w:t>≥</w:t>
      </w:r>
      <w:r>
        <w:rPr>
          <w:sz w:val="24"/>
        </w:rPr>
        <w:t xml:space="preserve"> </w:t>
      </w:r>
      <w:r w:rsidRPr="004A2991">
        <w:rPr>
          <w:sz w:val="24"/>
        </w:rPr>
        <w:t>±0.58 and FDR</w:t>
      </w:r>
      <w:r>
        <w:rPr>
          <w:sz w:val="24"/>
        </w:rPr>
        <w:t xml:space="preserve"> </w:t>
      </w:r>
      <w:r w:rsidRPr="004A2991">
        <w:rPr>
          <w:sz w:val="24"/>
        </w:rPr>
        <w:t>&lt;</w:t>
      </w:r>
      <w:r>
        <w:rPr>
          <w:sz w:val="24"/>
        </w:rPr>
        <w:t xml:space="preserve"> </w:t>
      </w:r>
      <w:r w:rsidRPr="004A2991">
        <w:rPr>
          <w:sz w:val="24"/>
        </w:rPr>
        <w:t>0.05 (</w:t>
      </w:r>
      <w:r>
        <w:rPr>
          <w:sz w:val="24"/>
        </w:rPr>
        <w:t xml:space="preserve">corresponding to </w:t>
      </w:r>
      <w:r w:rsidRPr="004A2991">
        <w:rPr>
          <w:sz w:val="24"/>
        </w:rPr>
        <w:t>-log</w:t>
      </w:r>
      <w:r w:rsidRPr="004A2991">
        <w:rPr>
          <w:sz w:val="24"/>
          <w:vertAlign w:val="subscript"/>
        </w:rPr>
        <w:t>10</w:t>
      </w:r>
      <w:r w:rsidRPr="004A2991">
        <w:rPr>
          <w:sz w:val="24"/>
        </w:rPr>
        <w:t>FDR</w:t>
      </w:r>
      <w:r>
        <w:rPr>
          <w:sz w:val="24"/>
        </w:rPr>
        <w:t xml:space="preserve">  </w:t>
      </w:r>
      <w:r w:rsidRPr="004A2991">
        <w:rPr>
          <w:sz w:val="24"/>
        </w:rPr>
        <w:t>&gt;</w:t>
      </w:r>
      <w:r>
        <w:rPr>
          <w:sz w:val="24"/>
        </w:rPr>
        <w:t xml:space="preserve"> </w:t>
      </w:r>
      <w:r w:rsidRPr="004A2991">
        <w:rPr>
          <w:sz w:val="24"/>
        </w:rPr>
        <w:t xml:space="preserve">1.3) </w:t>
      </w:r>
      <w:r w:rsidRPr="00E32B16">
        <w:rPr>
          <w:sz w:val="24"/>
        </w:rPr>
        <w:t>were deemed statistically significant and sub</w:t>
      </w:r>
      <w:r>
        <w:rPr>
          <w:sz w:val="24"/>
        </w:rPr>
        <w:t xml:space="preserve">sequently categorized by </w:t>
      </w:r>
      <w:proofErr w:type="spellStart"/>
      <w:r>
        <w:rPr>
          <w:sz w:val="24"/>
        </w:rPr>
        <w:t>color</w:t>
      </w:r>
      <w:proofErr w:type="spellEnd"/>
      <w:r>
        <w:rPr>
          <w:sz w:val="24"/>
        </w:rPr>
        <w:t>.</w:t>
      </w:r>
    </w:p>
    <w:p w14:paraId="761A9AC0" w14:textId="7FFC8093" w:rsidR="00EB254F" w:rsidRPr="004A2991" w:rsidRDefault="00EB254F" w:rsidP="00EB254F">
      <w:pPr>
        <w:pStyle w:val="Heading3"/>
        <w:rPr>
          <w:lang w:val="en-US"/>
        </w:rPr>
      </w:pPr>
      <w:bookmarkStart w:id="13" w:name="_Toc218605964"/>
      <w:r w:rsidRPr="004A2991">
        <w:rPr>
          <w:lang w:val="en-US"/>
        </w:rPr>
        <w:t xml:space="preserve">Enrichment </w:t>
      </w:r>
      <w:r w:rsidR="00F17ECA">
        <w:rPr>
          <w:lang w:val="en-US"/>
        </w:rPr>
        <w:t>A</w:t>
      </w:r>
      <w:r w:rsidRPr="004A2991">
        <w:rPr>
          <w:lang w:val="en-US"/>
        </w:rPr>
        <w:t>nalysis</w:t>
      </w:r>
      <w:bookmarkEnd w:id="13"/>
    </w:p>
    <w:p w14:paraId="0F923D70" w14:textId="77777777" w:rsidR="0009229D" w:rsidRPr="000B2848" w:rsidRDefault="0009229D" w:rsidP="0009229D">
      <w:pPr>
        <w:jc w:val="both"/>
        <w:rPr>
          <w:rFonts w:cs="Calibri"/>
          <w:color w:val="000000" w:themeColor="text1"/>
          <w:sz w:val="24"/>
          <w:lang w:val="en-US"/>
        </w:rPr>
      </w:pPr>
      <w:r w:rsidRPr="004A2991">
        <w:rPr>
          <w:rFonts w:cs="Calibri"/>
          <w:color w:val="000000" w:themeColor="text1"/>
          <w:sz w:val="24"/>
          <w:lang w:val="en-US"/>
        </w:rPr>
        <w:t>The enrichment analysis was performe</w:t>
      </w:r>
      <w:r>
        <w:rPr>
          <w:rFonts w:cs="Calibri"/>
          <w:color w:val="000000" w:themeColor="text1"/>
          <w:sz w:val="24"/>
          <w:lang w:val="en-US"/>
        </w:rPr>
        <w:t>d using web-based tool Enrichr</w:t>
      </w:r>
      <w:r>
        <w:rPr>
          <w:rFonts w:cs="Calibri"/>
          <w:color w:val="000000" w:themeColor="text1"/>
          <w:sz w:val="24"/>
          <w:lang w:val="en-US"/>
        </w:rPr>
        <w:fldChar w:fldCharType="begin" w:fldLock="1"/>
      </w:r>
      <w:r>
        <w:rPr>
          <w:rFonts w:cs="Calibri"/>
          <w:color w:val="000000" w:themeColor="text1"/>
          <w:sz w:val="24"/>
          <w:lang w:val="en-US"/>
        </w:rPr>
        <w:instrText>ADDIN CSL_CITATION {"citationItems":[{"id":"ITEM-1","itemData":{"DOI":"10.1186/1471-2105-14-128","ISSN":"14712105","abstract":"Background: System-wide profiling of genes and proteins in mammalian cells produce lists of differentially expressed genes/proteins that need to be further analyzed for their collective functions in order to extract new knowledge. Once unbiased lists of genes or proteins are generated from such experiments, these lists are used as input for computing enrichment with existing lists created from prior knowledge organized into gene-set libraries. While many enrichment analysis tools and gene-set libraries databases have been developed, there is still room for improvement.Results: Here, we present Enrichr, an integrative web-based and mobile software application that includes new gene-set libraries, an alternative approach to rank enriched terms, and various interactive visualization approaches to display enrichment results using the JavaScript library, Data Driven Documents (D3). The software can also be embedded into any tool that performs gene list analysis. We applied Enrichr to analyze nine cancer cell lines by comparing their enrichment signatures to the enrichment signatures of matched normal tissues. We observed a common pattern of up regulation of the polycomb group PRC2 and enrichment for the histone mark H3K27me3 in many cancer cell lines, as well as alterations in Toll-like receptor and interlukin signaling in K562 cells when compared with normal myeloid CD33+ cells. Such analyses provide global visualization of critical differences between normal tissues and cancer cell lines but can be applied to many other scenarios.Conclusions: Enrichr is an easy to use intuitive enrichment analysis web-based tool providing various types of visualization summaries of collective functions of gene lists. Enrichr is open source and freely available online at: http://amp.pharm.mssm.edu/Enrichr. © 2013 Chen et al.; licensee BioMed Central Ltd.","author":[{"dropping-particle":"","family":"Chen","given":"Edward Y.","non-dropping-particle":"","parse-names":false,"suffix":""},{"dropping-particle":"","family":"Tan","given":"Christopher M.","non-dropping-particle":"","parse-names":false,"suffix":""},{"dropping-particle":"","family":"Kou","given":"Yan","non-dropping-particle":"","parse-names":false,"suffix":""},{"dropping-particle":"","family":"Duan","given":"Qiaonan","non-dropping-particle":"","parse-names":false,"suffix":""},{"dropping-particle":"","family":"Wang","given":"Zichen","non-dropping-particle":"","parse-names":false,"suffix":""},{"dropping-particle":"V.","family":"Meirelles","given":"Gabriela","non-dropping-particle":"","parse-names":false,"suffix":""},{"dropping-particle":"","family":"Clark","given":"Neil R.","non-dropping-particle":"","parse-names":false,"suffix":""},{"dropping-particle":"","family":"Ma'ayan","given":"Avi","non-dropping-particle":"","parse-names":false,"suffix":""}],"container-title":"BMC Bioinformatics","id":"ITEM-1","issued":{"date-parts":[["2013"]]},"title":"Enrichr: Interactive and collaborative HTML5 gene list enrichment analysis tool","type":"article-journal","volume":"14"},"uris":["http://www.mendeley.com/documents/?uuid=56319549-50a0-3ec5-a3c8-78ec8d90d8e9"]}],"mendeley":{"formattedCitation":"&lt;sup&gt;9&lt;/sup&gt;","plainTextFormattedCitation":"9","previouslyFormattedCitation":"&lt;sup&gt;9&lt;/sup&gt;"},"properties":{"noteIndex":0},"schema":"https://github.com/citation-style-language/schema/raw/master/csl-citation.json"}</w:instrText>
      </w:r>
      <w:r>
        <w:rPr>
          <w:rFonts w:cs="Calibri"/>
          <w:color w:val="000000" w:themeColor="text1"/>
          <w:sz w:val="24"/>
          <w:lang w:val="en-US"/>
        </w:rPr>
        <w:fldChar w:fldCharType="separate"/>
      </w:r>
      <w:r w:rsidRPr="008B7913">
        <w:rPr>
          <w:rFonts w:cs="Calibri"/>
          <w:noProof/>
          <w:color w:val="000000" w:themeColor="text1"/>
          <w:sz w:val="24"/>
          <w:vertAlign w:val="superscript"/>
          <w:lang w:val="en-US"/>
        </w:rPr>
        <w:t>9</w:t>
      </w:r>
      <w:r>
        <w:rPr>
          <w:rFonts w:cs="Calibri"/>
          <w:color w:val="000000" w:themeColor="text1"/>
          <w:sz w:val="24"/>
          <w:lang w:val="en-US"/>
        </w:rPr>
        <w:fldChar w:fldCharType="end"/>
      </w:r>
      <w:r>
        <w:rPr>
          <w:rFonts w:cs="Calibri"/>
          <w:color w:val="000000" w:themeColor="text1"/>
          <w:sz w:val="24"/>
          <w:lang w:val="en-US"/>
        </w:rPr>
        <w:t xml:space="preserve">. The list of significant </w:t>
      </w:r>
      <w:r w:rsidRPr="004A2991">
        <w:rPr>
          <w:rFonts w:cs="Calibri"/>
          <w:color w:val="000000" w:themeColor="text1"/>
          <w:sz w:val="24"/>
          <w:lang w:val="en-US"/>
        </w:rPr>
        <w:t>proteins of interest (</w:t>
      </w:r>
      <w:r w:rsidRPr="00252D88">
        <w:rPr>
          <w:rFonts w:cs="Calibri"/>
          <w:color w:val="000000" w:themeColor="text1"/>
          <w:sz w:val="24"/>
          <w:lang w:val="en-US"/>
        </w:rPr>
        <w:t xml:space="preserve">based on nominal </w:t>
      </w:r>
      <w:r w:rsidRPr="00252D88">
        <w:rPr>
          <w:rFonts w:cs="Calibri"/>
          <w:i/>
          <w:color w:val="000000" w:themeColor="text1"/>
          <w:sz w:val="24"/>
          <w:lang w:val="en-US"/>
        </w:rPr>
        <w:t>p</w:t>
      </w:r>
      <w:r w:rsidRPr="00252D88">
        <w:rPr>
          <w:rFonts w:cs="Calibri"/>
          <w:color w:val="000000" w:themeColor="text1"/>
          <w:sz w:val="24"/>
          <w:lang w:val="en-US"/>
        </w:rPr>
        <w:t xml:space="preserve"> values,</w:t>
      </w:r>
      <w:r w:rsidRPr="004A2991">
        <w:rPr>
          <w:rFonts w:cs="Calibri"/>
          <w:color w:val="000000" w:themeColor="text1"/>
          <w:sz w:val="24"/>
          <w:lang w:val="en-US"/>
        </w:rPr>
        <w:t xml:space="preserve"> significance threshold</w:t>
      </w:r>
      <w:r>
        <w:rPr>
          <w:rFonts w:cs="Calibri"/>
          <w:color w:val="000000" w:themeColor="text1"/>
          <w:sz w:val="24"/>
          <w:lang w:val="en-US"/>
        </w:rPr>
        <w:t>s</w:t>
      </w:r>
      <w:r w:rsidRPr="004A2991">
        <w:rPr>
          <w:rFonts w:cs="Calibri"/>
          <w:color w:val="000000" w:themeColor="text1"/>
          <w:sz w:val="24"/>
          <w:lang w:val="en-US"/>
        </w:rPr>
        <w:t xml:space="preserve"> </w:t>
      </w:r>
      <w:r>
        <w:rPr>
          <w:rFonts w:cs="Calibri"/>
          <w:color w:val="000000" w:themeColor="text1"/>
          <w:sz w:val="24"/>
          <w:lang w:val="en-US"/>
        </w:rPr>
        <w:t>are</w:t>
      </w:r>
      <w:r w:rsidRPr="004A2991">
        <w:rPr>
          <w:rFonts w:cs="Calibri"/>
          <w:color w:val="000000" w:themeColor="text1"/>
          <w:sz w:val="24"/>
          <w:lang w:val="en-US"/>
        </w:rPr>
        <w:t xml:space="preserve"> indicated individually) was quer</w:t>
      </w:r>
      <w:r>
        <w:rPr>
          <w:rFonts w:cs="Calibri"/>
          <w:color w:val="000000" w:themeColor="text1"/>
          <w:sz w:val="24"/>
          <w:lang w:val="en-US"/>
        </w:rPr>
        <w:t>i</w:t>
      </w:r>
      <w:r w:rsidRPr="004A2991">
        <w:rPr>
          <w:rFonts w:cs="Calibri"/>
          <w:color w:val="000000" w:themeColor="text1"/>
          <w:sz w:val="24"/>
          <w:lang w:val="en-US"/>
        </w:rPr>
        <w:t xml:space="preserve">ed for the relevant pathways including </w:t>
      </w:r>
      <w:r>
        <w:rPr>
          <w:rFonts w:cs="Calibri"/>
          <w:color w:val="000000" w:themeColor="text1"/>
          <w:sz w:val="24"/>
          <w:lang w:val="en-US"/>
        </w:rPr>
        <w:t>Gene ontology (GO)</w:t>
      </w:r>
      <w:r w:rsidRPr="004A2991">
        <w:rPr>
          <w:rFonts w:cs="Calibri"/>
          <w:color w:val="000000" w:themeColor="text1"/>
          <w:sz w:val="24"/>
          <w:lang w:val="en-US"/>
        </w:rPr>
        <w:t xml:space="preserve">, </w:t>
      </w:r>
      <w:r w:rsidRPr="0055411C">
        <w:rPr>
          <w:rFonts w:eastAsiaTheme="majorEastAsia" w:cs="Calibri"/>
          <w:color w:val="000000" w:themeColor="text1"/>
          <w:sz w:val="24"/>
          <w:lang w:val="en-US"/>
        </w:rPr>
        <w:t>Kyoto Encyclopedia of Genes and Genomes</w:t>
      </w:r>
      <w:r w:rsidRPr="004A2991">
        <w:rPr>
          <w:rFonts w:cs="Calibri"/>
          <w:color w:val="000000" w:themeColor="text1"/>
          <w:sz w:val="24"/>
          <w:lang w:val="en-US"/>
        </w:rPr>
        <w:t xml:space="preserve"> </w:t>
      </w:r>
      <w:r>
        <w:rPr>
          <w:rFonts w:cs="Calibri"/>
          <w:color w:val="000000" w:themeColor="text1"/>
          <w:sz w:val="24"/>
          <w:lang w:val="en-US"/>
        </w:rPr>
        <w:t>(</w:t>
      </w:r>
      <w:r w:rsidRPr="004A2991">
        <w:rPr>
          <w:rFonts w:cs="Calibri"/>
          <w:color w:val="000000" w:themeColor="text1"/>
          <w:sz w:val="24"/>
          <w:lang w:val="en-US"/>
        </w:rPr>
        <w:t>KEGG</w:t>
      </w:r>
      <w:r>
        <w:rPr>
          <w:rFonts w:cs="Calibri"/>
          <w:color w:val="000000" w:themeColor="text1"/>
          <w:sz w:val="24"/>
          <w:lang w:val="en-US"/>
        </w:rPr>
        <w:t>)</w:t>
      </w:r>
      <w:r>
        <w:rPr>
          <w:rFonts w:cs="Calibri"/>
          <w:color w:val="000000" w:themeColor="text1"/>
          <w:sz w:val="24"/>
          <w:lang w:val="en-US"/>
        </w:rPr>
        <w:fldChar w:fldCharType="begin" w:fldLock="1"/>
      </w:r>
      <w:r>
        <w:rPr>
          <w:rFonts w:cs="Calibri"/>
          <w:color w:val="000000" w:themeColor="text1"/>
          <w:sz w:val="24"/>
          <w:lang w:val="en-US"/>
        </w:rPr>
        <w:instrText>ADDIN CSL_CITATION {"citationItems":[{"id":"ITEM-1","itemData":{"author":[{"dropping-particle":"","family":"Kanehisa","given":"Minoru","non-dropping-particle":"","parse-names":false,"suffix":""},{"dropping-particle":"","family":"Goto","given":"Susumu","non-dropping-particle":"","parse-names":false,"suffix":""}],"container-title":"Nucleic Acids Research","id":"ITEM-1","issue":"1","issued":{"date-parts":[["2000"]]},"page":"27-30","title":"KEGG: Kyoto encyclopedia of genes and genomes","type":"article-journal","volume":"28"},"uris":["http://www.mendeley.com/documents/?uuid=ad176377-1eb6-49fe-b097-51b9f8856d85"]}],"mendeley":{"formattedCitation":"&lt;sup&gt;10&lt;/sup&gt;","plainTextFormattedCitation":"10","previouslyFormattedCitation":"&lt;sup&gt;10&lt;/sup&gt;"},"properties":{"noteIndex":0},"schema":"https://github.com/citation-style-language/schema/raw/master/csl-citation.json"}</w:instrText>
      </w:r>
      <w:r>
        <w:rPr>
          <w:rFonts w:cs="Calibri"/>
          <w:color w:val="000000" w:themeColor="text1"/>
          <w:sz w:val="24"/>
          <w:lang w:val="en-US"/>
        </w:rPr>
        <w:fldChar w:fldCharType="separate"/>
      </w:r>
      <w:r w:rsidRPr="008B7913">
        <w:rPr>
          <w:rFonts w:cs="Calibri"/>
          <w:noProof/>
          <w:color w:val="000000" w:themeColor="text1"/>
          <w:sz w:val="24"/>
          <w:vertAlign w:val="superscript"/>
          <w:lang w:val="en-US"/>
        </w:rPr>
        <w:t>10</w:t>
      </w:r>
      <w:r>
        <w:rPr>
          <w:rFonts w:cs="Calibri"/>
          <w:color w:val="000000" w:themeColor="text1"/>
          <w:sz w:val="24"/>
          <w:lang w:val="en-US"/>
        </w:rPr>
        <w:fldChar w:fldCharType="end"/>
      </w:r>
      <w:r w:rsidRPr="004A2991">
        <w:rPr>
          <w:rFonts w:cs="Calibri"/>
          <w:color w:val="000000" w:themeColor="text1"/>
          <w:sz w:val="24"/>
          <w:lang w:val="en-US"/>
        </w:rPr>
        <w:t xml:space="preserve"> and </w:t>
      </w:r>
      <w:r w:rsidRPr="00FC27C6">
        <w:rPr>
          <w:rFonts w:cs="Calibri"/>
          <w:color w:val="000000" w:themeColor="text1"/>
          <w:sz w:val="24"/>
          <w:lang w:val="en-US"/>
        </w:rPr>
        <w:t>Molecular Signature Database</w:t>
      </w:r>
      <w:r>
        <w:rPr>
          <w:rFonts w:cs="Calibri"/>
          <w:color w:val="000000" w:themeColor="text1"/>
          <w:sz w:val="24"/>
          <w:lang w:val="en-US"/>
        </w:rPr>
        <w:t xml:space="preserve"> (</w:t>
      </w:r>
      <w:proofErr w:type="spellStart"/>
      <w:r w:rsidRPr="00925FCD">
        <w:rPr>
          <w:rFonts w:cs="Calibri"/>
          <w:color w:val="000000" w:themeColor="text1"/>
          <w:sz w:val="24"/>
          <w:lang w:val="en-US"/>
        </w:rPr>
        <w:t>MSigDB</w:t>
      </w:r>
      <w:proofErr w:type="spellEnd"/>
      <w:r>
        <w:rPr>
          <w:rFonts w:cs="Calibri"/>
          <w:color w:val="000000" w:themeColor="text1"/>
          <w:sz w:val="24"/>
          <w:lang w:val="en-US"/>
        </w:rPr>
        <w:t>)</w:t>
      </w:r>
      <w:r w:rsidRPr="00925FCD">
        <w:rPr>
          <w:rFonts w:cs="Calibri"/>
          <w:color w:val="000000" w:themeColor="text1"/>
          <w:sz w:val="24"/>
          <w:lang w:val="en-US"/>
        </w:rPr>
        <w:t xml:space="preserve"> Hallmark 2020</w:t>
      </w:r>
      <w:r>
        <w:rPr>
          <w:rFonts w:cs="Calibri"/>
          <w:color w:val="000000" w:themeColor="text1"/>
          <w:sz w:val="24"/>
          <w:lang w:val="en-US"/>
        </w:rPr>
        <w:fldChar w:fldCharType="begin" w:fldLock="1"/>
      </w:r>
      <w:r>
        <w:rPr>
          <w:rFonts w:cs="Calibri"/>
          <w:color w:val="000000" w:themeColor="text1"/>
          <w:sz w:val="24"/>
          <w:lang w:val="en-US"/>
        </w:rPr>
        <w:instrText>ADDIN CSL_CITATION {"citationItems":[{"id":"ITEM-1","itemData":{"DOI":"10.1073/pnas.0506580102","ISSN":"00278424","PMID":"16199517","abstract":"Although genomewide RNA expression analysis has become a routine tool in biomedical research, extracting biological insight from such information remains a major challenge. Here, we describe a powerful analytical method called Gene Set Enrichment Analysis (GSEA) for interpreting gene expression data. The method derives its power by focusing on gene sets, that is, groups of genes that share common biological function, chromosomal location, or regulation. We demonstrate how GSEA yields insights into several cancer-related data sets, including leukemia and lung cancer. Notably, where single-gene analysis finds little similarity between two independent studies of patient survival in lung cancer, GSEA reveals many biological pathways in common. The GSEA method is embodied in a freely available software package, together with an initial database of 1,325 biologically defined gene sets. © 2005 by The National Academy of Sciences of the USA.","author":[{"dropping-particle":"","family":"Subramanian","given":"Aravind","non-dropping-particle":"","parse-names":false,"suffix":""},{"dropping-particle":"","family":"Tamayo","given":"Pablo","non-dropping-particle":"","parse-names":false,"suffix":""},{"dropping-particle":"","family":"Mootha","given":"Vamsi K.","non-dropping-particle":"","parse-names":false,"suffix":""},{"dropping-particle":"","family":"Mukherjee","given":"Sayan","non-dropping-particle":"","parse-names":false,"suffix":""},{"dropping-particle":"","family":"Ebert","given":"Benjamin L.","non-dropping-particle":"","parse-names":false,"suffix":""},{"dropping-particle":"","family":"Gillette","given":"Michael A.","non-dropping-particle":"","parse-names":false,"suffix":""},{"dropping-particle":"","family":"Paulovich","given":"Amanda","non-dropping-particle":"","parse-names":false,"suffix":""},{"dropping-particle":"","family":"Pomeroy","given":"Scott L.","non-dropping-particle":"","parse-names":false,"suffix":""},{"dropping-particle":"","family":"Golub","given":"Todd R.","non-dropping-particle":"","parse-names":false,"suffix":""},{"dropping-particle":"","family":"Lander","given":"Eric S.","non-dropping-particle":"","parse-names":false,"suffix":""},{"dropping-particle":"","family":"Mesirov","given":"Jill P.","non-dropping-particle":"","parse-names":false,"suffix":""}],"container-title":"Proceedings of the National Academy of Sciences of the United States of America","id":"ITEM-1","issue":"43","issued":{"date-parts":[["2005"]]},"page":"15545-15550","title":"Gene set enrichment analysis: A knowledge-based approach for interpreting genome-wide expression profiles","type":"article-journal","volume":"102"},"uris":["http://www.mendeley.com/documents/?uuid=61000963-bfe0-4dca-a94d-eb279a0d2a22"]}],"mendeley":{"formattedCitation":"&lt;sup&gt;11&lt;/sup&gt;","plainTextFormattedCitation":"11","previouslyFormattedCitation":"&lt;sup&gt;11&lt;/sup&gt;"},"properties":{"noteIndex":0},"schema":"https://github.com/citation-style-language/schema/raw/master/csl-citation.json"}</w:instrText>
      </w:r>
      <w:r>
        <w:rPr>
          <w:rFonts w:cs="Calibri"/>
          <w:color w:val="000000" w:themeColor="text1"/>
          <w:sz w:val="24"/>
          <w:lang w:val="en-US"/>
        </w:rPr>
        <w:fldChar w:fldCharType="separate"/>
      </w:r>
      <w:r w:rsidRPr="008B7913">
        <w:rPr>
          <w:rFonts w:cs="Calibri"/>
          <w:noProof/>
          <w:color w:val="000000" w:themeColor="text1"/>
          <w:sz w:val="24"/>
          <w:vertAlign w:val="superscript"/>
          <w:lang w:val="en-US"/>
        </w:rPr>
        <w:t>11</w:t>
      </w:r>
      <w:r>
        <w:rPr>
          <w:rFonts w:cs="Calibri"/>
          <w:color w:val="000000" w:themeColor="text1"/>
          <w:sz w:val="24"/>
          <w:lang w:val="en-US"/>
        </w:rPr>
        <w:fldChar w:fldCharType="end"/>
      </w:r>
      <w:r w:rsidRPr="004A2991">
        <w:rPr>
          <w:rFonts w:cs="Calibri"/>
          <w:color w:val="000000" w:themeColor="text1"/>
          <w:sz w:val="24"/>
          <w:lang w:val="en-US"/>
        </w:rPr>
        <w:t xml:space="preserve">. The adjusted </w:t>
      </w:r>
      <w:r w:rsidRPr="004A2991">
        <w:rPr>
          <w:rFonts w:cs="Calibri"/>
          <w:i/>
          <w:color w:val="000000" w:themeColor="text1"/>
          <w:sz w:val="24"/>
          <w:lang w:val="en-US"/>
        </w:rPr>
        <w:t>p</w:t>
      </w:r>
      <w:r w:rsidRPr="004A2991">
        <w:rPr>
          <w:rFonts w:cs="Calibri"/>
          <w:color w:val="000000" w:themeColor="text1"/>
          <w:sz w:val="24"/>
          <w:lang w:val="en-US"/>
        </w:rPr>
        <w:t xml:space="preserve"> values</w:t>
      </w:r>
      <w:r>
        <w:rPr>
          <w:rFonts w:cs="Calibri"/>
          <w:color w:val="000000" w:themeColor="text1"/>
          <w:sz w:val="24"/>
          <w:lang w:val="en-US"/>
        </w:rPr>
        <w:t xml:space="preserve"> </w:t>
      </w:r>
      <w:r w:rsidRPr="004A2991">
        <w:rPr>
          <w:rFonts w:cs="Calibri"/>
          <w:color w:val="000000" w:themeColor="text1"/>
          <w:sz w:val="24"/>
          <w:lang w:val="en-US"/>
        </w:rPr>
        <w:t>&lt;</w:t>
      </w:r>
      <w:r>
        <w:rPr>
          <w:rFonts w:cs="Calibri"/>
          <w:color w:val="000000" w:themeColor="text1"/>
          <w:sz w:val="24"/>
          <w:lang w:val="en-US"/>
        </w:rPr>
        <w:t xml:space="preserve"> </w:t>
      </w:r>
      <w:r w:rsidRPr="004A2991">
        <w:rPr>
          <w:rFonts w:cs="Calibri"/>
          <w:color w:val="000000" w:themeColor="text1"/>
          <w:sz w:val="24"/>
          <w:lang w:val="en-US"/>
        </w:rPr>
        <w:t>0.05 of biological processes and pathways were conside</w:t>
      </w:r>
      <w:r>
        <w:rPr>
          <w:rFonts w:cs="Calibri"/>
          <w:color w:val="000000" w:themeColor="text1"/>
          <w:sz w:val="24"/>
          <w:lang w:val="en-US"/>
        </w:rPr>
        <w:t xml:space="preserve">red statistically significant. </w:t>
      </w:r>
    </w:p>
    <w:p w14:paraId="70E340CD" w14:textId="72C6A477" w:rsidR="00EB254F" w:rsidRPr="004A2991" w:rsidRDefault="00EB254F" w:rsidP="00EB254F">
      <w:pPr>
        <w:pStyle w:val="Heading3"/>
      </w:pPr>
      <w:bookmarkStart w:id="14" w:name="_Toc218605965"/>
      <w:r w:rsidRPr="004A2991">
        <w:t xml:space="preserve">Protein </w:t>
      </w:r>
      <w:r w:rsidR="00F17ECA">
        <w:t>A</w:t>
      </w:r>
      <w:r w:rsidRPr="004A2991">
        <w:t xml:space="preserve">ssociation </w:t>
      </w:r>
      <w:r w:rsidR="00F17ECA">
        <w:t>N</w:t>
      </w:r>
      <w:r w:rsidRPr="004A2991">
        <w:t>etworks</w:t>
      </w:r>
      <w:bookmarkEnd w:id="14"/>
    </w:p>
    <w:p w14:paraId="17AF4B45" w14:textId="190E03B3" w:rsidR="00D0477F" w:rsidRPr="004A4E01" w:rsidRDefault="00EB254F" w:rsidP="004A4E01">
      <w:pPr>
        <w:autoSpaceDE w:val="0"/>
        <w:autoSpaceDN w:val="0"/>
        <w:adjustRightInd w:val="0"/>
        <w:jc w:val="both"/>
        <w:rPr>
          <w:rFonts w:eastAsiaTheme="majorEastAsia" w:cs="Calibri"/>
          <w:color w:val="000000" w:themeColor="text1"/>
          <w:sz w:val="24"/>
          <w:lang w:val="en-US"/>
        </w:rPr>
      </w:pPr>
      <w:r w:rsidRPr="004A2991">
        <w:rPr>
          <w:rFonts w:eastAsiaTheme="majorEastAsia" w:cs="Calibri"/>
          <w:color w:val="000000" w:themeColor="text1"/>
          <w:sz w:val="24"/>
          <w:lang w:val="en-US"/>
        </w:rPr>
        <w:t xml:space="preserve">To illustrate enriched protein networks underlying respective biological pathways in </w:t>
      </w:r>
      <w:r>
        <w:rPr>
          <w:color w:val="000000" w:themeColor="text1"/>
          <w:sz w:val="24"/>
          <w:szCs w:val="24"/>
          <w:lang w:val="en-US"/>
        </w:rPr>
        <w:t>RA-</w:t>
      </w:r>
      <w:proofErr w:type="spellStart"/>
      <w:r>
        <w:rPr>
          <w:color w:val="000000" w:themeColor="text1"/>
          <w:sz w:val="24"/>
          <w:szCs w:val="24"/>
          <w:lang w:val="en-US"/>
        </w:rPr>
        <w:t>persAF</w:t>
      </w:r>
      <w:proofErr w:type="spellEnd"/>
      <w:r w:rsidRPr="004A2991">
        <w:rPr>
          <w:rFonts w:eastAsiaTheme="majorEastAsia" w:cs="Calibri"/>
          <w:color w:val="000000" w:themeColor="text1"/>
          <w:sz w:val="24"/>
          <w:lang w:val="en-US"/>
        </w:rPr>
        <w:t xml:space="preserve">, we combined KEGG pathway analysis in conjunction with </w:t>
      </w:r>
      <w:r>
        <w:rPr>
          <w:rFonts w:eastAsiaTheme="majorEastAsia" w:cs="Calibri"/>
          <w:color w:val="000000" w:themeColor="text1"/>
          <w:sz w:val="24"/>
          <w:lang w:val="en-US"/>
        </w:rPr>
        <w:t xml:space="preserve">the </w:t>
      </w:r>
      <w:proofErr w:type="spellStart"/>
      <w:r w:rsidRPr="004A2991">
        <w:rPr>
          <w:rFonts w:eastAsiaTheme="majorEastAsia" w:cs="Calibri"/>
          <w:color w:val="000000" w:themeColor="text1"/>
          <w:sz w:val="24"/>
          <w:lang w:val="en-US"/>
        </w:rPr>
        <w:t>Cytoscape</w:t>
      </w:r>
      <w:proofErr w:type="spellEnd"/>
      <w:r w:rsidRPr="004A2991">
        <w:rPr>
          <w:rFonts w:eastAsiaTheme="majorEastAsia" w:cs="Calibri"/>
          <w:color w:val="000000" w:themeColor="text1"/>
          <w:sz w:val="24"/>
          <w:lang w:val="en-US"/>
        </w:rPr>
        <w:t xml:space="preserve"> software</w:t>
      </w:r>
      <w:r w:rsidR="00F34506">
        <w:rPr>
          <w:rFonts w:eastAsiaTheme="majorEastAsia" w:cs="Calibri"/>
          <w:color w:val="000000" w:themeColor="text1"/>
          <w:sz w:val="24"/>
          <w:lang w:val="en-US"/>
        </w:rPr>
        <w:fldChar w:fldCharType="begin" w:fldLock="1"/>
      </w:r>
      <w:r w:rsidR="008B7913">
        <w:rPr>
          <w:rFonts w:eastAsiaTheme="majorEastAsia" w:cs="Calibri"/>
          <w:color w:val="000000" w:themeColor="text1"/>
          <w:sz w:val="24"/>
          <w:lang w:val="en-US"/>
        </w:rPr>
        <w:instrText>ADDIN CSL_CITATION {"citationItems":[{"id":"ITEM-1","itemData":{"DOI":"10.1101/gr.1239303","ISSN":"10889051","abstract":"Cytoscape is an open source software project for integrating biomolecular interaction networks with high-throughput expression data and other molecular states into a unified conceptual framework. Although applicable to any system of molecular components and interactions, Cytoscape is most powerful when used in conjunction with large databases of protein-protein, protein-DNA, and genetic interactions that are increasingly available for humans and model organisms. Cytoscape's software Core provides basic functionality to layout and query the network; to visually integrate the network with expression profiles, phenotypes, and other molecular states; and to link the network to databases of functional annotations. The Core is extensible through a straightforward plug-in architecture, allowing rapid development of additional computational analyses and features. Several case studies of Cytoscape plug-ins are surveyed, including a search for interaction pathways correlating with changes in gene expression, a study of protein complexes involved in cellular recovery to DNA damage, inference of a combined physical/functional interaction network for Halobacterium, and an interface to detailed stochastic/kinetic gene regulatory models.","author":[{"dropping-particle":"","family":"Shannon","given":"Paul","non-dropping-particle":"","parse-names":false,"suffix":""},{"dropping-particle":"","family":"Markiel","given":"Andrew","non-dropping-particle":"","parse-names":false,"suffix":""},{"dropping-particle":"","family":"Ozier","given":"Owen","non-dropping-particle":"","parse-names":false,"suffix":""},{"dropping-particle":"","family":"Baliga","given":"Nitin S.","non-dropping-particle":"","parse-names":false,"suffix":""},{"dropping-particle":"","family":"Wang","given":"Jonathan T.","non-dropping-particle":"","parse-names":false,"suffix":""},{"dropping-particle":"","family":"Ramage","given":"Daniel","non-dropping-particle":"","parse-names":false,"suffix":""},{"dropping-particle":"","family":"Amin","given":"Nada","non-dropping-particle":"","parse-names":false,"suffix":""},{"dropping-particle":"","family":"Schwikowski","given":"Beno","non-dropping-particle":"","parse-names":false,"suffix":""},{"dropping-particle":"","family":"Ideker","given":"Trey","non-dropping-particle":"","parse-names":false,"suffix":""}],"container-title":"Genome Research","id":"ITEM-1","issue":"11","issued":{"date-parts":[["2003"]]},"title":"Cytoscape: A software Environment for integrated models of biomolecular interaction networks","type":"article-journal","volume":"13"},"uris":["http://www.mendeley.com/documents/?uuid=e04de313-4fb0-33d3-9e86-ee6b7e8c92fb"]}],"mendeley":{"formattedCitation":"&lt;sup&gt;12&lt;/sup&gt;","plainTextFormattedCitation":"12","previouslyFormattedCitation":"&lt;sup&gt;12&lt;/sup&gt;"},"properties":{"noteIndex":0},"schema":"https://github.com/citation-style-language/schema/raw/master/csl-citation.json"}</w:instrText>
      </w:r>
      <w:r w:rsidR="00F34506">
        <w:rPr>
          <w:rFonts w:eastAsiaTheme="majorEastAsia" w:cs="Calibri"/>
          <w:color w:val="000000" w:themeColor="text1"/>
          <w:sz w:val="24"/>
          <w:lang w:val="en-US"/>
        </w:rPr>
        <w:fldChar w:fldCharType="separate"/>
      </w:r>
      <w:r w:rsidR="008B7913" w:rsidRPr="008B7913">
        <w:rPr>
          <w:rFonts w:eastAsiaTheme="majorEastAsia" w:cs="Calibri"/>
          <w:noProof/>
          <w:color w:val="000000" w:themeColor="text1"/>
          <w:sz w:val="24"/>
          <w:vertAlign w:val="superscript"/>
          <w:lang w:val="en-US"/>
        </w:rPr>
        <w:t>12</w:t>
      </w:r>
      <w:r w:rsidR="00F34506">
        <w:rPr>
          <w:rFonts w:eastAsiaTheme="majorEastAsia" w:cs="Calibri"/>
          <w:color w:val="000000" w:themeColor="text1"/>
          <w:sz w:val="24"/>
          <w:lang w:val="en-US"/>
        </w:rPr>
        <w:fldChar w:fldCharType="end"/>
      </w:r>
      <w:r w:rsidRPr="004A2991">
        <w:rPr>
          <w:rFonts w:eastAsiaTheme="majorEastAsia" w:cs="Calibri"/>
          <w:color w:val="000000" w:themeColor="text1"/>
          <w:sz w:val="24"/>
          <w:lang w:val="en-US"/>
        </w:rPr>
        <w:t xml:space="preserve">. The </w:t>
      </w:r>
      <w:r>
        <w:rPr>
          <w:color w:val="000000" w:themeColor="text1"/>
          <w:sz w:val="24"/>
          <w:szCs w:val="24"/>
          <w:lang w:val="en-US"/>
        </w:rPr>
        <w:t>RA-</w:t>
      </w:r>
      <w:proofErr w:type="spellStart"/>
      <w:r>
        <w:rPr>
          <w:color w:val="000000" w:themeColor="text1"/>
          <w:sz w:val="24"/>
          <w:szCs w:val="24"/>
          <w:lang w:val="en-US"/>
        </w:rPr>
        <w:t>persAF</w:t>
      </w:r>
      <w:proofErr w:type="spellEnd"/>
      <w:r>
        <w:rPr>
          <w:color w:val="000000" w:themeColor="text1"/>
          <w:sz w:val="24"/>
          <w:szCs w:val="24"/>
          <w:lang w:val="en-US"/>
        </w:rPr>
        <w:t xml:space="preserve"> </w:t>
      </w:r>
      <w:r w:rsidRPr="004A2991">
        <w:rPr>
          <w:rFonts w:eastAsiaTheme="majorEastAsia" w:cs="Calibri"/>
          <w:color w:val="000000" w:themeColor="text1"/>
          <w:sz w:val="24"/>
          <w:lang w:val="en-US"/>
        </w:rPr>
        <w:t xml:space="preserve">protein list was pre-filtered </w:t>
      </w:r>
      <w:r w:rsidRPr="004A2991">
        <w:rPr>
          <w:rFonts w:eastAsiaTheme="majorEastAsia" w:cs="Calibri"/>
          <w:color w:val="000000" w:themeColor="text1"/>
          <w:sz w:val="24"/>
        </w:rPr>
        <w:t xml:space="preserve">using a </w:t>
      </w:r>
      <w:r w:rsidRPr="004A2991">
        <w:rPr>
          <w:rFonts w:eastAsiaTheme="majorEastAsia" w:cs="Calibri"/>
          <w:i/>
          <w:color w:val="000000" w:themeColor="text1"/>
          <w:sz w:val="24"/>
        </w:rPr>
        <w:t>p</w:t>
      </w:r>
      <w:r w:rsidRPr="004A2991">
        <w:rPr>
          <w:rFonts w:eastAsiaTheme="majorEastAsia" w:cs="Calibri"/>
          <w:color w:val="000000" w:themeColor="text1"/>
          <w:sz w:val="24"/>
        </w:rPr>
        <w:t xml:space="preserve"> value cutoff 0.01 </w:t>
      </w:r>
      <w:r w:rsidRPr="004A2991">
        <w:rPr>
          <w:rFonts w:eastAsiaTheme="majorEastAsia" w:cs="Calibri"/>
          <w:color w:val="000000" w:themeColor="text1"/>
          <w:sz w:val="24"/>
          <w:lang w:val="en-US"/>
        </w:rPr>
        <w:t xml:space="preserve">and subjected to </w:t>
      </w:r>
      <w:r>
        <w:rPr>
          <w:rFonts w:eastAsiaTheme="majorEastAsia" w:cs="Calibri"/>
          <w:color w:val="000000" w:themeColor="text1"/>
          <w:sz w:val="24"/>
          <w:lang w:val="en-US"/>
        </w:rPr>
        <w:t xml:space="preserve">the </w:t>
      </w:r>
      <w:r w:rsidRPr="004A2991">
        <w:rPr>
          <w:rFonts w:eastAsiaTheme="majorEastAsia" w:cs="Calibri"/>
          <w:color w:val="000000" w:themeColor="text1"/>
          <w:sz w:val="24"/>
          <w:lang w:val="en-US"/>
        </w:rPr>
        <w:t xml:space="preserve">KEGG analysis. The proteins from the relevant pathways (adj. </w:t>
      </w:r>
      <w:r w:rsidRPr="004A2991">
        <w:rPr>
          <w:rFonts w:eastAsiaTheme="majorEastAsia" w:cs="Calibri"/>
          <w:i/>
          <w:color w:val="000000" w:themeColor="text1"/>
          <w:sz w:val="24"/>
          <w:lang w:val="en-US"/>
        </w:rPr>
        <w:t>p</w:t>
      </w:r>
      <w:r>
        <w:rPr>
          <w:rFonts w:eastAsiaTheme="majorEastAsia" w:cs="Calibri"/>
          <w:i/>
          <w:color w:val="000000" w:themeColor="text1"/>
          <w:sz w:val="24"/>
          <w:lang w:val="en-US"/>
        </w:rPr>
        <w:t xml:space="preserve"> </w:t>
      </w:r>
      <w:r w:rsidRPr="004A2991">
        <w:rPr>
          <w:rFonts w:eastAsiaTheme="majorEastAsia" w:cs="Calibri"/>
          <w:color w:val="000000" w:themeColor="text1"/>
          <w:sz w:val="24"/>
          <w:lang w:val="en-US"/>
        </w:rPr>
        <w:t>&lt;</w:t>
      </w:r>
      <w:r>
        <w:rPr>
          <w:rFonts w:eastAsiaTheme="majorEastAsia" w:cs="Calibri"/>
          <w:color w:val="000000" w:themeColor="text1"/>
          <w:sz w:val="24"/>
          <w:lang w:val="en-US"/>
        </w:rPr>
        <w:t xml:space="preserve"> </w:t>
      </w:r>
      <w:r w:rsidRPr="004A2991">
        <w:rPr>
          <w:rFonts w:eastAsiaTheme="majorEastAsia" w:cs="Calibri"/>
          <w:color w:val="000000" w:themeColor="text1"/>
          <w:sz w:val="24"/>
          <w:lang w:val="en-US"/>
        </w:rPr>
        <w:t xml:space="preserve">0.05) were further </w:t>
      </w:r>
      <w:proofErr w:type="spellStart"/>
      <w:r w:rsidRPr="004A2991">
        <w:rPr>
          <w:rFonts w:eastAsiaTheme="majorEastAsia" w:cs="Calibri"/>
          <w:color w:val="000000" w:themeColor="text1"/>
          <w:sz w:val="24"/>
          <w:lang w:val="en-US"/>
        </w:rPr>
        <w:t>analysed</w:t>
      </w:r>
      <w:proofErr w:type="spellEnd"/>
      <w:r w:rsidRPr="004A2991">
        <w:rPr>
          <w:rFonts w:eastAsiaTheme="majorEastAsia" w:cs="Calibri"/>
          <w:color w:val="000000" w:themeColor="text1"/>
          <w:sz w:val="24"/>
          <w:lang w:val="en-US"/>
        </w:rPr>
        <w:t xml:space="preserve"> using STRING App (v.2.0.1.)</w:t>
      </w:r>
      <w:r>
        <w:rPr>
          <w:rFonts w:eastAsiaTheme="majorEastAsia" w:cs="Calibri"/>
          <w:color w:val="000000" w:themeColor="text1"/>
          <w:sz w:val="24"/>
          <w:lang w:val="en-US"/>
        </w:rPr>
        <w:fldChar w:fldCharType="begin" w:fldLock="1"/>
      </w:r>
      <w:r w:rsidR="008B7913">
        <w:rPr>
          <w:rFonts w:eastAsiaTheme="majorEastAsia" w:cs="Calibri"/>
          <w:color w:val="000000" w:themeColor="text1"/>
          <w:sz w:val="24"/>
          <w:lang w:val="en-US"/>
        </w:rPr>
        <w:instrText>ADDIN CSL_CITATION {"citationItems":[{"id":"ITEM-1","itemData":{"DOI":"10.1093/nar/gkw937","ISSN":"13624962","PMID":"27924014","abstract":"A system-wide understanding of cellular function requires knowledge of all functional interactions between the expressed proteins. The STRING database aims to collect and integrate this information, by consolidating known and predicted protein-protein association data for a large number of organisms. The associations in STRING include direct (physical) interactions, as well as indirect (functional) interactions, as long as both are specific and biologically meaningful. Apart from collecting and reassessing available experimental data on protein-protein interactions, and importing known pathways and protein complexes from curated databases, interaction predictions are derived from the following sources: (i) systematic co-expression analysis, (ii) detection of shared selective signals across genomes, (iii) automated text-mining of the scientific literature and (iv) computational transfer of interaction knowledge between organisms based on gene orthology. In the latest version 10.5 of STRING, the biggest changes are concerned with data dissemination: the web frontend has been completely redesigned to reduce dependency on outdated browser technologies, and the database can now also be queried from inside the popular Cytoscape software framework. Further improvements include automated background analysis of user inputs for functional enrichments, and streamlined download options. The STRING resource is available online, at http://string-db.org/.","author":[{"dropping-particle":"","family":"Szklarczyk","given":"Damian","non-dropping-particle":"","parse-names":false,"suffix":""},{"dropping-particle":"","family":"Morris","given":"John H.","non-dropping-particle":"","parse-names":false,"suffix":""},{"dropping-particle":"","family":"Cook","given":"Helen","non-dropping-particle":"","parse-names":false,"suffix":""},{"dropping-particle":"","family":"Kuhn","given":"Michael","non-dropping-particle":"","parse-names":false,"suffix":""},{"dropping-particle":"","family":"Wyder","given":"Stefan","non-dropping-particle":"","parse-names":false,"suffix":""},{"dropping-particle":"","family":"Simonovic","given":"Milan","non-dropping-particle":"","parse-names":false,"suffix":""},{"dropping-particle":"","family":"Santos","given":"Alberto","non-dropping-particle":"","parse-names":false,"suffix":""},{"dropping-particle":"","family":"Doncheva","given":"Nadezhda T.","non-dropping-particle":"","parse-names":false,"suffix":""},{"dropping-particle":"","family":"Roth","given":"Alexander","non-dropping-particle":"","parse-names":false,"suffix":""},{"dropping-particle":"","family":"Bork","given":"Peer","non-dropping-particle":"","parse-names":false,"suffix":""},{"dropping-particle":"","family":"Jensen","given":"Lars J.","non-dropping-particle":"","parse-names":false,"suffix":""},{"dropping-particle":"","family":"Mering","given":"Christian","non-dropping-particle":"Von","parse-names":false,"suffix":""}],"container-title":"Nucleic Acids Research","id":"ITEM-1","issue":"D1","issued":{"date-parts":[["2017"]]},"page":"D362-D368","title":"The STRING database in 2017: Quality-controlled protein-protein association networks, made broadly accessible","type":"article-journal","volume":"45"},"uris":["http://www.mendeley.com/documents/?uuid=16d53d3f-1861-4ab5-a070-d58477f87c0a"]}],"mendeley":{"formattedCitation":"&lt;sup&gt;13&lt;/sup&gt;","plainTextFormattedCitation":"13","previouslyFormattedCitation":"&lt;sup&gt;13&lt;/sup&gt;"},"properties":{"noteIndex":0},"schema":"https://github.com/citation-style-language/schema/raw/master/csl-citation.json"}</w:instrText>
      </w:r>
      <w:r>
        <w:rPr>
          <w:rFonts w:eastAsiaTheme="majorEastAsia" w:cs="Calibri"/>
          <w:color w:val="000000" w:themeColor="text1"/>
          <w:sz w:val="24"/>
          <w:lang w:val="en-US"/>
        </w:rPr>
        <w:fldChar w:fldCharType="separate"/>
      </w:r>
      <w:r w:rsidR="008B7913" w:rsidRPr="008B7913">
        <w:rPr>
          <w:rFonts w:eastAsiaTheme="majorEastAsia" w:cs="Calibri"/>
          <w:noProof/>
          <w:color w:val="000000" w:themeColor="text1"/>
          <w:sz w:val="24"/>
          <w:vertAlign w:val="superscript"/>
          <w:lang w:val="en-US"/>
        </w:rPr>
        <w:t>13</w:t>
      </w:r>
      <w:r>
        <w:rPr>
          <w:rFonts w:eastAsiaTheme="majorEastAsia" w:cs="Calibri"/>
          <w:color w:val="000000" w:themeColor="text1"/>
          <w:sz w:val="24"/>
          <w:lang w:val="en-US"/>
        </w:rPr>
        <w:fldChar w:fldCharType="end"/>
      </w:r>
      <w:r w:rsidR="00365695">
        <w:rPr>
          <w:rFonts w:eastAsiaTheme="majorEastAsia" w:cs="Calibri"/>
          <w:color w:val="000000" w:themeColor="text1"/>
          <w:sz w:val="24"/>
          <w:lang w:val="en-US"/>
        </w:rPr>
        <w:t xml:space="preserve"> in </w:t>
      </w:r>
      <w:proofErr w:type="spellStart"/>
      <w:r w:rsidR="00365695">
        <w:rPr>
          <w:rFonts w:eastAsiaTheme="majorEastAsia" w:cs="Calibri"/>
          <w:color w:val="000000" w:themeColor="text1"/>
          <w:sz w:val="24"/>
          <w:lang w:val="en-US"/>
        </w:rPr>
        <w:t>Cytoscape</w:t>
      </w:r>
      <w:proofErr w:type="spellEnd"/>
      <w:r w:rsidRPr="004A2991">
        <w:rPr>
          <w:rFonts w:eastAsiaTheme="majorEastAsia" w:cs="Calibri"/>
          <w:color w:val="000000" w:themeColor="text1"/>
          <w:sz w:val="24"/>
          <w:lang w:val="en-US"/>
        </w:rPr>
        <w:t xml:space="preserve"> (v.3.9.1.) with the full STRING network type and confidence score </w:t>
      </w:r>
      <w:r w:rsidRPr="00252D88">
        <w:rPr>
          <w:rFonts w:eastAsiaTheme="majorEastAsia" w:cs="Calibri"/>
          <w:color w:val="000000" w:themeColor="text1"/>
          <w:sz w:val="24"/>
          <w:lang w:val="en-US"/>
        </w:rPr>
        <w:t xml:space="preserve">cutoff </w:t>
      </w:r>
      <w:r w:rsidR="009C5B9A" w:rsidRPr="00252D88">
        <w:rPr>
          <w:rFonts w:eastAsiaTheme="majorEastAsia" w:cs="Calibri"/>
          <w:color w:val="000000" w:themeColor="text1"/>
          <w:sz w:val="24"/>
          <w:lang w:val="en-US"/>
        </w:rPr>
        <w:t xml:space="preserve">of </w:t>
      </w:r>
      <w:r w:rsidRPr="00252D88">
        <w:rPr>
          <w:rFonts w:eastAsiaTheme="majorEastAsia" w:cs="Calibri"/>
          <w:color w:val="000000" w:themeColor="text1"/>
          <w:sz w:val="24"/>
          <w:lang w:val="en-US"/>
        </w:rPr>
        <w:t>0.</w:t>
      </w:r>
      <w:r w:rsidRPr="004A2991">
        <w:rPr>
          <w:rFonts w:eastAsiaTheme="majorEastAsia" w:cs="Calibri"/>
          <w:color w:val="000000" w:themeColor="text1"/>
          <w:sz w:val="24"/>
          <w:lang w:val="en-US"/>
        </w:rPr>
        <w:t xml:space="preserve">4. </w:t>
      </w:r>
      <w:r w:rsidR="009C5B9A">
        <w:rPr>
          <w:rFonts w:eastAsiaTheme="majorEastAsia" w:cs="Calibri"/>
          <w:color w:val="000000" w:themeColor="text1"/>
          <w:sz w:val="24"/>
          <w:lang w:val="en-US"/>
        </w:rPr>
        <w:t>C</w:t>
      </w:r>
      <w:r w:rsidRPr="004A2991">
        <w:rPr>
          <w:rFonts w:eastAsiaTheme="majorEastAsia" w:cs="Calibri"/>
          <w:color w:val="000000" w:themeColor="text1"/>
          <w:sz w:val="24"/>
          <w:lang w:val="en-US"/>
        </w:rPr>
        <w:t>lusters consisting of minimum of 5 nodes were identified through MCL clustering using clusterMaker2 (v.2.3.4)</w:t>
      </w:r>
      <w:r>
        <w:rPr>
          <w:rFonts w:eastAsiaTheme="majorEastAsia" w:cs="Calibri"/>
          <w:color w:val="000000" w:themeColor="text1"/>
          <w:sz w:val="24"/>
          <w:lang w:val="en-US"/>
        </w:rPr>
        <w:fldChar w:fldCharType="begin" w:fldLock="1"/>
      </w:r>
      <w:r w:rsidR="008B7913">
        <w:rPr>
          <w:rFonts w:eastAsiaTheme="majorEastAsia" w:cs="Calibri"/>
          <w:color w:val="000000" w:themeColor="text1"/>
          <w:sz w:val="24"/>
          <w:lang w:val="en-US"/>
        </w:rPr>
        <w:instrText>ADDIN CSL_CITATION {"citationItems":[{"id":"ITEM-1","itemData":{"DOI":"10.1186/1471-2105-12-436","ISSN":"14712105","PMID":"22070249","abstract":"Background: In the post-genomic era, the rapid increase in high-throughput data calls for computational tools capable of integrating data of diverse types and facilitating recognition of biologically meaningful patterns within them. For example, protein-protein interaction data sets have been clustered to identify stable complexes, but scientists lack easily accessible tools to facilitate combined analyses of multiple data sets from different types of experiments. Here we present clusterMaker, a Cytoscape plugin that implements several clustering algorithms and provides network, dendrogram, and heat map views of the results. The Cytoscape network is linked to all of the other views, so that a selection in one is immediately reflected in the others. clusterMaker is the first Cytoscape plugin to implement such a wide variety of clustering algorithms and visualizations, including the only implementations of hierarchical clustering, dendrogram plus heat map visualization (tree view), k-means, k-medoid, SCPS, AutoSOME, and native (Java) MCL.Results: Results are presented in the form of three scenarios of use: analysis of protein expression data using a recently published mouse interactome and a mouse microarray data set of nearly one hundred diverse cell/tissue types; the identification of protein complexes in the yeast Saccharomyces cerevisiae; and the cluster analysis of the vicinal oxygen chelate (VOC) enzyme superfamily. For scenario one, we explore functionally enriched mouse interactomes specific to particular cellular phenotypes and apply fuzzy clustering. For scenario two, we explore the prefoldin complex in detail using both physical and genetic interaction clusters. For scenario three, we explore the possible annotation of a protein as a methylmalonyl-CoA epimerase within the VOC superfamily. Cytoscape session files for all three scenarios are provided in the Additional Files section.Conclusions: The Cytoscape plugin clusterMaker provides a number of clustering algorithms and visualizations that can be used independently or in combination for analysis and visualization of biological data sets, and for confirming or generating hypotheses about biological function. Several of these visualizations and algorithms are only available to Cytoscape users through the clusterMaker plugin. clusterMaker is available via the Cytoscape plugin manager. © 2011 Morris et al; licensee BioMed Central Ltd.","author":[{"dropping-particle":"","family":"Morris","given":"John H.","non-dropping-particle":"","parse-names":false,"suffix":""},{"dropping-particle":"","family":"Apeltsin","given":"Leonard","non-dropping-particle":"","parse-names":false,"suffix":""},{"dropping-particle":"","family":"Newman","given":"Aaron M.","non-dropping-particle":"","parse-names":false,"suffix":""},{"dropping-particle":"","family":"Baumbach","given":"Jan","non-dropping-particle":"","parse-names":false,"suffix":""},{"dropping-particle":"","family":"Wittkop","given":"Tobias","non-dropping-particle":"","parse-names":false,"suffix":""},{"dropping-particle":"","family":"Su","given":"Gang","non-dropping-particle":"","parse-names":false,"suffix":""},{"dropping-particle":"","family":"Bader","given":"Gary D.","non-dropping-particle":"","parse-names":false,"suffix":""},{"dropping-particle":"","family":"Ferrin","given":"Thomas E.","non-dropping-particle":"","parse-names":false,"suffix":""}],"container-title":"BMC Bioinformatics","id":"ITEM-1","issued":{"date-parts":[["2011"]]},"page":"1-14","title":"ClusterMaker: A multi-algorithm clustering plugin for Cytoscape","type":"article-journal","volume":"12"},"uris":["http://www.mendeley.com/documents/?uuid=b9e18a9e-d399-4bf1-9139-63c02ef59b01"]}],"mendeley":{"formattedCitation":"&lt;sup&gt;14&lt;/sup&gt;","plainTextFormattedCitation":"14","previouslyFormattedCitation":"&lt;sup&gt;14&lt;/sup&gt;"},"properties":{"noteIndex":0},"schema":"https://github.com/citation-style-language/schema/raw/master/csl-citation.json"}</w:instrText>
      </w:r>
      <w:r>
        <w:rPr>
          <w:rFonts w:eastAsiaTheme="majorEastAsia" w:cs="Calibri"/>
          <w:color w:val="000000" w:themeColor="text1"/>
          <w:sz w:val="24"/>
          <w:lang w:val="en-US"/>
        </w:rPr>
        <w:fldChar w:fldCharType="separate"/>
      </w:r>
      <w:r w:rsidR="008B7913" w:rsidRPr="008B7913">
        <w:rPr>
          <w:rFonts w:eastAsiaTheme="majorEastAsia" w:cs="Calibri"/>
          <w:noProof/>
          <w:color w:val="000000" w:themeColor="text1"/>
          <w:sz w:val="24"/>
          <w:vertAlign w:val="superscript"/>
          <w:lang w:val="en-US"/>
        </w:rPr>
        <w:t>14</w:t>
      </w:r>
      <w:r>
        <w:rPr>
          <w:rFonts w:eastAsiaTheme="majorEastAsia" w:cs="Calibri"/>
          <w:color w:val="000000" w:themeColor="text1"/>
          <w:sz w:val="24"/>
          <w:lang w:val="en-US"/>
        </w:rPr>
        <w:fldChar w:fldCharType="end"/>
      </w:r>
      <w:r w:rsidRPr="004A2991">
        <w:rPr>
          <w:rFonts w:eastAsiaTheme="majorEastAsia" w:cs="Calibri"/>
          <w:color w:val="000000" w:themeColor="text1"/>
          <w:sz w:val="24"/>
          <w:lang w:val="en-US"/>
        </w:rPr>
        <w:t xml:space="preserve"> and reuploaded to the STRING in order to generate a map containing all clusters. The individual </w:t>
      </w:r>
      <w:r>
        <w:rPr>
          <w:rFonts w:eastAsiaTheme="majorEastAsia" w:cs="Calibri"/>
          <w:color w:val="000000" w:themeColor="text1"/>
          <w:sz w:val="24"/>
          <w:lang w:val="en-US"/>
        </w:rPr>
        <w:t xml:space="preserve">cluster </w:t>
      </w:r>
      <w:proofErr w:type="spellStart"/>
      <w:r w:rsidRPr="004A2991">
        <w:rPr>
          <w:rFonts w:eastAsiaTheme="majorEastAsia" w:cs="Calibri"/>
          <w:color w:val="000000" w:themeColor="text1"/>
          <w:sz w:val="24"/>
          <w:lang w:val="en-US"/>
        </w:rPr>
        <w:t>annotatation</w:t>
      </w:r>
      <w:proofErr w:type="spellEnd"/>
      <w:r w:rsidRPr="004A2991">
        <w:rPr>
          <w:rFonts w:eastAsiaTheme="majorEastAsia" w:cs="Calibri"/>
          <w:color w:val="000000" w:themeColor="text1"/>
          <w:sz w:val="24"/>
          <w:lang w:val="en-US"/>
        </w:rPr>
        <w:t xml:space="preserve"> was based on KEGG-enriched term. </w:t>
      </w:r>
      <w:r>
        <w:rPr>
          <w:rFonts w:eastAsiaTheme="majorEastAsia" w:cs="Calibri"/>
          <w:color w:val="000000" w:themeColor="text1"/>
          <w:sz w:val="24"/>
          <w:lang w:val="en-US"/>
        </w:rPr>
        <w:t>N</w:t>
      </w:r>
      <w:r w:rsidRPr="004A2991">
        <w:rPr>
          <w:rFonts w:eastAsiaTheme="majorEastAsia" w:cs="Calibri"/>
          <w:color w:val="000000" w:themeColor="text1"/>
          <w:sz w:val="24"/>
          <w:lang w:val="en-US"/>
        </w:rPr>
        <w:t>ode color and size were adjusted using continuous mapping function based on log</w:t>
      </w:r>
      <w:r w:rsidRPr="004A2991">
        <w:rPr>
          <w:rFonts w:eastAsiaTheme="majorEastAsia" w:cs="Calibri"/>
          <w:color w:val="000000" w:themeColor="text1"/>
          <w:sz w:val="24"/>
          <w:vertAlign w:val="subscript"/>
          <w:lang w:val="en-US"/>
        </w:rPr>
        <w:t xml:space="preserve">2 </w:t>
      </w:r>
      <w:r w:rsidRPr="004A2991">
        <w:rPr>
          <w:rFonts w:eastAsiaTheme="majorEastAsia" w:cs="Calibri"/>
          <w:color w:val="000000" w:themeColor="text1"/>
          <w:sz w:val="24"/>
          <w:lang w:val="en-US"/>
        </w:rPr>
        <w:t>FC and –log</w:t>
      </w:r>
      <w:r w:rsidRPr="004A2991">
        <w:rPr>
          <w:rFonts w:eastAsiaTheme="majorEastAsia" w:cs="Calibri"/>
          <w:color w:val="000000" w:themeColor="text1"/>
          <w:sz w:val="24"/>
          <w:vertAlign w:val="subscript"/>
          <w:lang w:val="en-US"/>
        </w:rPr>
        <w:t>10</w:t>
      </w:r>
      <w:r w:rsidRPr="004A2991">
        <w:rPr>
          <w:rFonts w:eastAsiaTheme="majorEastAsia" w:cs="Calibri"/>
          <w:color w:val="000000" w:themeColor="text1"/>
          <w:sz w:val="24"/>
          <w:lang w:val="en-US"/>
        </w:rPr>
        <w:t xml:space="preserve"> </w:t>
      </w:r>
      <w:r w:rsidRPr="004A2991">
        <w:rPr>
          <w:rFonts w:eastAsiaTheme="majorEastAsia" w:cs="Calibri"/>
          <w:i/>
          <w:color w:val="000000" w:themeColor="text1"/>
          <w:sz w:val="24"/>
          <w:lang w:val="en-US"/>
        </w:rPr>
        <w:t>p</w:t>
      </w:r>
      <w:r w:rsidRPr="004A2991">
        <w:rPr>
          <w:rFonts w:eastAsiaTheme="majorEastAsia" w:cs="Calibri"/>
          <w:color w:val="000000" w:themeColor="text1"/>
          <w:sz w:val="24"/>
          <w:lang w:val="en-US"/>
        </w:rPr>
        <w:t xml:space="preserve"> values, respectively. </w:t>
      </w:r>
      <w:r>
        <w:rPr>
          <w:rFonts w:eastAsiaTheme="majorEastAsia" w:cs="Calibri"/>
          <w:color w:val="000000" w:themeColor="text1"/>
          <w:sz w:val="24"/>
          <w:lang w:val="en-US"/>
        </w:rPr>
        <w:t>I</w:t>
      </w:r>
      <w:r w:rsidRPr="004A2991">
        <w:rPr>
          <w:rFonts w:eastAsiaTheme="majorEastAsia" w:cs="Calibri"/>
          <w:color w:val="000000" w:themeColor="text1"/>
          <w:sz w:val="24"/>
          <w:lang w:val="en-US"/>
        </w:rPr>
        <w:t xml:space="preserve">ntensity of edges (connections) is based on STRING database given score, representing the confidence level of the protein interaction. </w:t>
      </w:r>
      <w:r w:rsidRPr="0007130C">
        <w:rPr>
          <w:rFonts w:eastAsiaTheme="majorEastAsia" w:cs="Calibri"/>
          <w:color w:val="000000" w:themeColor="text1"/>
          <w:sz w:val="24"/>
          <w:lang w:val="en-US"/>
        </w:rPr>
        <w:t>Cluster Nr. 12, associated with</w:t>
      </w:r>
      <w:r>
        <w:rPr>
          <w:rFonts w:eastAsiaTheme="majorEastAsia" w:cs="Calibri"/>
          <w:color w:val="000000" w:themeColor="text1"/>
          <w:sz w:val="24"/>
          <w:lang w:val="en-US"/>
        </w:rPr>
        <w:t xml:space="preserve"> "Pathways of neurodegeneration</w:t>
      </w:r>
      <w:r w:rsidRPr="004A2991">
        <w:rPr>
          <w:rFonts w:eastAsiaTheme="majorEastAsia" w:cs="Calibri"/>
          <w:color w:val="000000" w:themeColor="text1"/>
          <w:sz w:val="24"/>
          <w:lang w:val="en-US"/>
        </w:rPr>
        <w:t xml:space="preserve">" was not </w:t>
      </w:r>
      <w:proofErr w:type="spellStart"/>
      <w:r w:rsidRPr="004A2991">
        <w:rPr>
          <w:rFonts w:eastAsiaTheme="majorEastAsia" w:cs="Calibri"/>
          <w:color w:val="000000" w:themeColor="text1"/>
          <w:sz w:val="24"/>
          <w:lang w:val="en-US"/>
        </w:rPr>
        <w:t>visualised</w:t>
      </w:r>
      <w:proofErr w:type="spellEnd"/>
      <w:r w:rsidRPr="004A2991">
        <w:rPr>
          <w:rFonts w:eastAsiaTheme="majorEastAsia" w:cs="Calibri"/>
          <w:color w:val="000000" w:themeColor="text1"/>
          <w:sz w:val="24"/>
          <w:lang w:val="en-US"/>
        </w:rPr>
        <w:t xml:space="preserve"> in Fig. </w:t>
      </w:r>
      <w:r w:rsidR="008E7733">
        <w:rPr>
          <w:rFonts w:eastAsiaTheme="majorEastAsia" w:cs="Calibri"/>
          <w:color w:val="000000" w:themeColor="text1"/>
          <w:sz w:val="24"/>
          <w:lang w:val="en-US"/>
        </w:rPr>
        <w:t>3</w:t>
      </w:r>
      <w:r w:rsidRPr="004A2991">
        <w:rPr>
          <w:rFonts w:eastAsiaTheme="majorEastAsia" w:cs="Calibri"/>
          <w:color w:val="000000" w:themeColor="text1"/>
          <w:sz w:val="24"/>
          <w:lang w:val="en-US"/>
        </w:rPr>
        <w:t xml:space="preserve"> due to its limited relevance to cardiac tissue </w:t>
      </w:r>
      <w:r w:rsidRPr="0007130C">
        <w:rPr>
          <w:rFonts w:eastAsiaTheme="majorEastAsia" w:cs="Calibri"/>
          <w:color w:val="000000" w:themeColor="text1"/>
          <w:sz w:val="24"/>
          <w:lang w:val="en-US"/>
        </w:rPr>
        <w:t>but is provided in</w:t>
      </w:r>
      <w:r>
        <w:rPr>
          <w:rFonts w:eastAsiaTheme="majorEastAsia" w:cs="Calibri"/>
          <w:color w:val="000000" w:themeColor="text1"/>
          <w:sz w:val="24"/>
          <w:lang w:val="en-US"/>
        </w:rPr>
        <w:t xml:space="preserve"> </w:t>
      </w:r>
      <w:r w:rsidRPr="004A2991">
        <w:rPr>
          <w:rFonts w:eastAsiaTheme="majorEastAsia" w:cs="Calibri"/>
          <w:color w:val="000000" w:themeColor="text1"/>
          <w:sz w:val="24"/>
          <w:lang w:val="en-US"/>
        </w:rPr>
        <w:t xml:space="preserve">Suppl. </w:t>
      </w:r>
      <w:r w:rsidRPr="004E118E">
        <w:rPr>
          <w:rFonts w:eastAsiaTheme="majorEastAsia" w:cs="Calibri"/>
          <w:color w:val="000000" w:themeColor="text1"/>
          <w:sz w:val="24"/>
          <w:lang w:val="en-US"/>
        </w:rPr>
        <w:t xml:space="preserve">Data </w:t>
      </w:r>
      <w:r w:rsidR="004F11C1" w:rsidRPr="004E118E">
        <w:rPr>
          <w:rFonts w:eastAsiaTheme="majorEastAsia" w:cs="Calibri"/>
          <w:color w:val="000000" w:themeColor="text1"/>
          <w:sz w:val="24"/>
          <w:lang w:val="en-US"/>
        </w:rPr>
        <w:t>4</w:t>
      </w:r>
      <w:r w:rsidR="00664149" w:rsidRPr="004E118E">
        <w:rPr>
          <w:rFonts w:eastAsiaTheme="majorEastAsia" w:cs="Calibri"/>
          <w:color w:val="000000" w:themeColor="text1"/>
          <w:sz w:val="24"/>
          <w:lang w:val="en-US"/>
        </w:rPr>
        <w:t>, Ta</w:t>
      </w:r>
      <w:r w:rsidR="00664149">
        <w:rPr>
          <w:rFonts w:eastAsiaTheme="majorEastAsia" w:cs="Calibri"/>
          <w:color w:val="000000" w:themeColor="text1"/>
          <w:sz w:val="24"/>
          <w:lang w:val="en-US"/>
        </w:rPr>
        <w:t>ble S1</w:t>
      </w:r>
      <w:r w:rsidRPr="004A2991">
        <w:rPr>
          <w:rFonts w:eastAsiaTheme="majorEastAsia" w:cs="Calibri"/>
          <w:color w:val="000000" w:themeColor="text1"/>
          <w:sz w:val="24"/>
          <w:lang w:val="en-US"/>
        </w:rPr>
        <w:t>.</w:t>
      </w:r>
      <w:r w:rsidR="00D0477F">
        <w:rPr>
          <w:b/>
          <w:i/>
          <w:color w:val="767171" w:themeColor="background2" w:themeShade="80"/>
          <w:sz w:val="28"/>
        </w:rPr>
        <w:br w:type="page"/>
      </w:r>
    </w:p>
    <w:p w14:paraId="330AE2D8" w14:textId="7751F425" w:rsidR="00D0477F" w:rsidRPr="00252D88" w:rsidRDefault="00D0477F" w:rsidP="00D0477F">
      <w:pPr>
        <w:pStyle w:val="Heading3"/>
      </w:pPr>
      <w:bookmarkStart w:id="15" w:name="_Toc218605966"/>
      <w:r w:rsidRPr="00252D88">
        <w:lastRenderedPageBreak/>
        <w:t>LV-HF (DCM) Dataset Reprocessing</w:t>
      </w:r>
      <w:bookmarkEnd w:id="15"/>
    </w:p>
    <w:p w14:paraId="2F2E02BB" w14:textId="07C2A454" w:rsidR="00C3014D" w:rsidRPr="00252D88" w:rsidRDefault="009C5B9A" w:rsidP="00D0477F">
      <w:pPr>
        <w:jc w:val="both"/>
        <w:rPr>
          <w:sz w:val="24"/>
        </w:rPr>
      </w:pPr>
      <w:r w:rsidRPr="00252D88">
        <w:rPr>
          <w:sz w:val="24"/>
        </w:rPr>
        <w:t xml:space="preserve">The mass spectrometry raw data for the study by Li </w:t>
      </w:r>
      <w:r w:rsidRPr="00252D88">
        <w:rPr>
          <w:i/>
          <w:sz w:val="24"/>
        </w:rPr>
        <w:t>et al</w:t>
      </w:r>
      <w:r w:rsidRPr="00252D88">
        <w:rPr>
          <w:sz w:val="24"/>
        </w:rPr>
        <w:t>.</w:t>
      </w:r>
      <w:r w:rsidRPr="00252D88">
        <w:rPr>
          <w:sz w:val="24"/>
        </w:rPr>
        <w:fldChar w:fldCharType="begin" w:fldLock="1"/>
      </w:r>
      <w:r w:rsidRPr="00252D88">
        <w:rPr>
          <w:sz w:val="24"/>
        </w:rPr>
        <w:instrText>ADDIN CSL_CITATION {"citationItems":[{"id":"ITEM-1","itemData":{"DOI":"10.1038/s41467-020-16584-z","ISSN":"20411723","abstract":"Poor access to human left ventricular myocardium is a significant limitation in the study of heart failure (HF). Here, we utilise a carefully procured large human heart biobank of cryopreserved left ventricular myocardium to obtain direct molecular insights into ischaemic cardiomyopathy (ICM) and dilated cardiomyopathy (DCM), the most common causes of HF worldwide. We perform unbiased, deep proteomic and metabolomic analyses of 51 left ventricular (LV) samples from 44 cryopreserved human ICM and DCM hearts, compared to age-, gender-, and BMI-matched, histopathologically normal, donor controls. We report a dramatic reduction in serum amyloid A1 protein in ICM hearts, perturbed thyroid hormone signalling pathways and significant reductions in oxidoreductase co-factor riboflavin-5-monophosphate and glycolytic intermediate fructose-6-phosphate in both; unveil gender-specific changes in HF, including nitric oxide-related arginine metabolism, mitochondrial substrates, and X chromosome-linked protein and metabolite changes; and provide an interactive online application as a publicly-available resource.","author":[{"dropping-particle":"","family":"Li","given":"Mengbo","non-dropping-particle":"","parse-names":false,"suffix":""},{"dropping-particle":"","family":"Parker","given":"Benjamin L.","non-dropping-particle":"","parse-names":false,"suffix":""},{"dropping-particle":"","family":"Pearson","given":"Evangeline","non-dropping-particle":"","parse-names":false,"suffix":""},{"dropping-particle":"","family":"Hunter","given":"Benjamin","non-dropping-particle":"","parse-names":false,"suffix":""},{"dropping-particle":"","family":"Cao","given":"Jacob","non-dropping-particle":"","parse-names":false,"suffix":""},{"dropping-particle":"","family":"Koay","given":"Yen Chin","non-dropping-particle":"","parse-names":false,"suffix":""},{"dropping-particle":"","family":"Guneratne","given":"Oneka","non-dropping-particle":"","parse-names":false,"suffix":""},{"dropping-particle":"","family":"James","given":"David E.","non-dropping-particle":"","parse-names":false,"suffix":""},{"dropping-particle":"","family":"Yang","given":"Jean","non-dropping-particle":"","parse-names":false,"suffix":""},{"dropping-particle":"","family":"Lal","given":"Sean","non-dropping-particle":"","parse-names":false,"suffix":""},{"dropping-particle":"","family":"O’Sullivan","given":"John F.","non-dropping-particle":"","parse-names":false,"suffix":""}],"container-title":"Nature Communications","id":"ITEM-1","issue":"1","issued":{"date-parts":[["2020"]]},"title":"Core functional nodes and sex-specific pathways in human ischaemic and dilated cardiomyopathy","type":"article-journal","volume":"11"},"uris":["http://www.mendeley.com/documents/?uuid=b0a0498f-d63e-32cd-9c79-09b991ea4329"]}],"mendeley":{"formattedCitation":"&lt;sup&gt;15&lt;/sup&gt;","plainTextFormattedCitation":"15","previouslyFormattedCitation":"&lt;sup&gt;15&lt;/sup&gt;"},"properties":{"noteIndex":0},"schema":"https://github.com/citation-style-language/schema/raw/master/csl-citation.json"}</w:instrText>
      </w:r>
      <w:r w:rsidRPr="00252D88">
        <w:rPr>
          <w:sz w:val="24"/>
        </w:rPr>
        <w:fldChar w:fldCharType="separate"/>
      </w:r>
      <w:r w:rsidRPr="00252D88">
        <w:rPr>
          <w:noProof/>
          <w:sz w:val="24"/>
          <w:vertAlign w:val="superscript"/>
        </w:rPr>
        <w:t>15</w:t>
      </w:r>
      <w:r w:rsidRPr="00252D88">
        <w:rPr>
          <w:sz w:val="24"/>
        </w:rPr>
        <w:fldChar w:fldCharType="end"/>
      </w:r>
      <w:r w:rsidRPr="00252D88">
        <w:rPr>
          <w:sz w:val="24"/>
        </w:rPr>
        <w:t xml:space="preserve"> describing proteome analysis of left ventricular samples of patients with dilated cardiomyopathy (DCM) and healthy donors was obtained from the PRIDE repository.</w:t>
      </w:r>
      <w:r w:rsidR="00D0477F" w:rsidRPr="00252D88">
        <w:rPr>
          <w:sz w:val="24"/>
        </w:rPr>
        <w:t xml:space="preserve"> To ensure methodological comparability with the RA-</w:t>
      </w:r>
      <w:proofErr w:type="spellStart"/>
      <w:r w:rsidR="00D0477F" w:rsidRPr="00252D88">
        <w:rPr>
          <w:sz w:val="24"/>
        </w:rPr>
        <w:t>persAF</w:t>
      </w:r>
      <w:proofErr w:type="spellEnd"/>
      <w:r w:rsidR="00D0477F" w:rsidRPr="00252D88">
        <w:rPr>
          <w:sz w:val="24"/>
        </w:rPr>
        <w:t xml:space="preserve"> dataset, the raw files were reprocessed using </w:t>
      </w:r>
      <w:proofErr w:type="spellStart"/>
      <w:r w:rsidR="00D0477F" w:rsidRPr="00252D88">
        <w:rPr>
          <w:sz w:val="24"/>
        </w:rPr>
        <w:t>Biognosys</w:t>
      </w:r>
      <w:proofErr w:type="spellEnd"/>
      <w:r w:rsidR="00D0477F" w:rsidRPr="00252D88">
        <w:rPr>
          <w:sz w:val="24"/>
        </w:rPr>
        <w:t xml:space="preserve"> </w:t>
      </w:r>
      <w:proofErr w:type="spellStart"/>
      <w:r w:rsidR="00D0477F" w:rsidRPr="00252D88">
        <w:rPr>
          <w:sz w:val="24"/>
        </w:rPr>
        <w:t>Spectronaut</w:t>
      </w:r>
      <w:proofErr w:type="spellEnd"/>
      <w:r w:rsidR="00D0477F" w:rsidRPr="00252D88">
        <w:rPr>
          <w:sz w:val="24"/>
        </w:rPr>
        <w:t xml:space="preserve"> software (v.20) and the </w:t>
      </w:r>
      <w:proofErr w:type="spellStart"/>
      <w:r w:rsidR="00D0477F" w:rsidRPr="00252D88">
        <w:rPr>
          <w:sz w:val="24"/>
        </w:rPr>
        <w:t>UniProtKB</w:t>
      </w:r>
      <w:proofErr w:type="spellEnd"/>
      <w:r w:rsidR="00D0477F" w:rsidRPr="00252D88">
        <w:rPr>
          <w:sz w:val="24"/>
        </w:rPr>
        <w:t xml:space="preserve"> human reference proteome database, searching against the spectral library generated in this study.</w:t>
      </w:r>
      <w:r w:rsidR="00C3014D" w:rsidRPr="00252D88">
        <w:rPr>
          <w:sz w:val="24"/>
        </w:rPr>
        <w:t xml:space="preserve"> </w:t>
      </w:r>
      <w:r w:rsidR="00D0477F" w:rsidRPr="00252D88">
        <w:rPr>
          <w:sz w:val="24"/>
        </w:rPr>
        <w:t xml:space="preserve">Protein groups were mapped to corresponding gene identifiers to avoid ambiguity from multi-entry protein groups. </w:t>
      </w:r>
    </w:p>
    <w:p w14:paraId="5315657D" w14:textId="2E41D8FC" w:rsidR="00D0477F" w:rsidRPr="00252D88" w:rsidRDefault="00D0477F" w:rsidP="00D0477F">
      <w:pPr>
        <w:jc w:val="both"/>
        <w:rPr>
          <w:sz w:val="24"/>
        </w:rPr>
      </w:pPr>
      <w:r w:rsidRPr="00252D88">
        <w:rPr>
          <w:sz w:val="24"/>
        </w:rPr>
        <w:t xml:space="preserve">This approach yielded 4,456 unique genes, representing a 33% increase (+1,544 genes) compared to the original Li </w:t>
      </w:r>
      <w:r w:rsidRPr="00252D88">
        <w:rPr>
          <w:i/>
          <w:sz w:val="24"/>
        </w:rPr>
        <w:t>et al</w:t>
      </w:r>
      <w:r w:rsidRPr="00252D88">
        <w:rPr>
          <w:sz w:val="24"/>
        </w:rPr>
        <w:t>. analysis (3,146 genes), with 234 genes (5%) not detected after reprocessing. None of the absent proteins overlapped with the RA-</w:t>
      </w:r>
      <w:proofErr w:type="spellStart"/>
      <w:r w:rsidRPr="00252D88">
        <w:rPr>
          <w:sz w:val="24"/>
        </w:rPr>
        <w:t>persAF</w:t>
      </w:r>
      <w:proofErr w:type="spellEnd"/>
      <w:r w:rsidRPr="00252D88">
        <w:rPr>
          <w:sz w:val="24"/>
        </w:rPr>
        <w:t xml:space="preserve"> and DCM markers used in the present study.</w:t>
      </w:r>
    </w:p>
    <w:p w14:paraId="1E101918" w14:textId="105B9A4D" w:rsidR="00D0477F" w:rsidRPr="00D0477F" w:rsidRDefault="00D0477F" w:rsidP="00D0477F">
      <w:pPr>
        <w:jc w:val="both"/>
        <w:rPr>
          <w:sz w:val="24"/>
        </w:rPr>
      </w:pPr>
      <w:r w:rsidRPr="00252D88">
        <w:rPr>
          <w:sz w:val="24"/>
        </w:rPr>
        <w:t xml:space="preserve">Of the 4,456 detected genes, 4,292 overlapped with our dataset, while 161 were unique to the DCM dataset; these unique proteins did not include any known DCM markers. The reprocessed dataset was </w:t>
      </w:r>
      <w:proofErr w:type="spellStart"/>
      <w:r w:rsidRPr="00252D88">
        <w:rPr>
          <w:sz w:val="24"/>
        </w:rPr>
        <w:t>analyzed</w:t>
      </w:r>
      <w:proofErr w:type="spellEnd"/>
      <w:r w:rsidRPr="00252D88">
        <w:rPr>
          <w:sz w:val="24"/>
        </w:rPr>
        <w:t xml:space="preserve"> using the </w:t>
      </w:r>
      <w:r w:rsidR="00C3014D" w:rsidRPr="00252D88">
        <w:rPr>
          <w:sz w:val="24"/>
        </w:rPr>
        <w:t>GEE model, on log</w:t>
      </w:r>
      <w:r w:rsidR="00C3014D" w:rsidRPr="00252D88">
        <w:rPr>
          <w:sz w:val="24"/>
          <w:vertAlign w:val="subscript"/>
        </w:rPr>
        <w:t>2</w:t>
      </w:r>
      <w:r w:rsidRPr="00252D88">
        <w:rPr>
          <w:sz w:val="24"/>
        </w:rPr>
        <w:t>-transformed protein abundances, consistent with the statistical pipeline applied to the RA-</w:t>
      </w:r>
      <w:proofErr w:type="spellStart"/>
      <w:r w:rsidRPr="00252D88">
        <w:rPr>
          <w:sz w:val="24"/>
        </w:rPr>
        <w:t>persAF</w:t>
      </w:r>
      <w:proofErr w:type="spellEnd"/>
      <w:r w:rsidRPr="00252D88">
        <w:rPr>
          <w:sz w:val="24"/>
        </w:rPr>
        <w:t xml:space="preserve"> dataset. This yielded 199 differentially expressed proteins (nominal </w:t>
      </w:r>
      <w:r w:rsidRPr="00252D88">
        <w:rPr>
          <w:i/>
          <w:sz w:val="24"/>
        </w:rPr>
        <w:t>p</w:t>
      </w:r>
      <w:r w:rsidRPr="00252D88">
        <w:rPr>
          <w:sz w:val="24"/>
        </w:rPr>
        <w:t xml:space="preserve"> &lt; 0.05) for direct comparison with the RA-</w:t>
      </w:r>
      <w:proofErr w:type="spellStart"/>
      <w:r w:rsidRPr="00252D88">
        <w:rPr>
          <w:sz w:val="24"/>
        </w:rPr>
        <w:t>persAF</w:t>
      </w:r>
      <w:proofErr w:type="spellEnd"/>
      <w:r w:rsidRPr="00252D88">
        <w:rPr>
          <w:sz w:val="24"/>
        </w:rPr>
        <w:t xml:space="preserve"> proteome.</w:t>
      </w:r>
    </w:p>
    <w:p w14:paraId="7B9F3BB2" w14:textId="4DBCB121" w:rsidR="00EB254F" w:rsidRPr="00F04865" w:rsidRDefault="00EB254F" w:rsidP="00EB254F">
      <w:pPr>
        <w:pStyle w:val="Heading2"/>
      </w:pPr>
      <w:bookmarkStart w:id="16" w:name="_Toc218605967"/>
      <w:r w:rsidRPr="00F04865">
        <w:t xml:space="preserve">Biochemical </w:t>
      </w:r>
      <w:r w:rsidR="00F17ECA">
        <w:t>S</w:t>
      </w:r>
      <w:r w:rsidRPr="00F04865">
        <w:t>tudies</w:t>
      </w:r>
      <w:bookmarkEnd w:id="16"/>
    </w:p>
    <w:p w14:paraId="0856D181" w14:textId="7CD24513" w:rsidR="00043315" w:rsidRDefault="00EB254F" w:rsidP="00043315">
      <w:pPr>
        <w:jc w:val="both"/>
        <w:rPr>
          <w:color w:val="000000" w:themeColor="text1"/>
          <w:sz w:val="24"/>
          <w:lang w:val="en-US"/>
        </w:rPr>
      </w:pPr>
      <w:r w:rsidRPr="00FB46BB">
        <w:rPr>
          <w:color w:val="000000" w:themeColor="text1"/>
          <w:sz w:val="24"/>
          <w:lang w:val="en-US"/>
        </w:rPr>
        <w:t>Protein is</w:t>
      </w:r>
      <w:r w:rsidR="00123425">
        <w:rPr>
          <w:color w:val="000000" w:themeColor="text1"/>
          <w:sz w:val="24"/>
          <w:lang w:val="en-US"/>
        </w:rPr>
        <w:t xml:space="preserve">olation and immunoblotting </w:t>
      </w:r>
      <w:r w:rsidRPr="00FB46BB">
        <w:rPr>
          <w:color w:val="000000" w:themeColor="text1"/>
          <w:sz w:val="24"/>
          <w:lang w:val="en-US"/>
        </w:rPr>
        <w:t>were performed as described previously</w:t>
      </w:r>
      <w:r w:rsidR="00FB46BB">
        <w:rPr>
          <w:color w:val="000000" w:themeColor="text1"/>
          <w:sz w:val="24"/>
          <w:lang w:val="en-US"/>
        </w:rPr>
        <w:fldChar w:fldCharType="begin" w:fldLock="1"/>
      </w:r>
      <w:r w:rsidR="00915045">
        <w:rPr>
          <w:color w:val="000000" w:themeColor="text1"/>
          <w:sz w:val="24"/>
          <w:lang w:val="en-US"/>
        </w:rPr>
        <w:instrText>ADDIN CSL_CITATION {"citationItems":[{"id":"ITEM-1","itemData":{"DOI":"10.1161/CIRCULATIONAHA.111.067306","ISSN":"00097322","PMID":"22456474","abstract":"Background-Delayed afterdepolarizations (DADs) carried by Na +-Ca 2+-exchange current (I NCX) in response to sarcoplasmic reticulum (SR) Ca 2+ leak can promote atrial fibrillation (AF). The mechanisms leading to delayed afterdepolarizations in AF patients have not been defined. Methods and Results-Protein levels (Western blot), membrane currents and action potentials (patch clamp), and [Ca 2+] i (Fluo-3) were measured in right atrial samples from 76 sinus rhythm (control) and 72 chronic AF (cAF) patients. Diastolic [Ca 2+] i and SR Ca 2+ content (integrated I NCX during caffeine-induced Ca 2+ transient) were unchanged, whereas diastolic SR Ca 2+ leak, estimated by blocking ryanodine receptors (RyR2) with tetracaine, was 50% higher in cAF versus control. Single-channel recordings from atrial RyR2 reconstituted into lipid bilayers revealed enhanced open probability in cAF samples, providing a molecular basis for increased SR Ca leak. Calmodulin expression (60%), Ca/calmodulin-dependent protein kinase-II (CaMKII) autophosphorylation at Thr287 (87%), and RyR2 phosphorylation at Ser2808 (protein kinase A/CaMKII site, 236%) and Ser2814 (CaMKII site, 77%) were increased in cAF. The selective CaMKII blocker KN-93 decreased SR Ca 2+ leak, the frequency of spontaneous Ca 2+ release events, and RyR2 open probability in cAF, whereas protein kinase A inhibition with H-89 was ineffective. Knock-in mice with constitutively phosphorylated RyR2 at Ser2814 showed a higher incidence of Ca 2+ sparks and increased susceptibility to pacing-induced AF compared with controls. The relationship between [Ca 2+] i and I NCX density revealed I NCX upregulation in cAF. Spontaneous Ca 2+ release events accompanied by inward I NCX currents and delayed afterdepolarizations/triggered activity occurred more often and the sensitivity of resting membrane voltage to elevated [Ca 2+]i (diastolic [Ca 2+] i-voltage coupling gain) was higher in cAF compared with control. Conclusions-Enhanced SR Ca 2+ leak through CaMKII-hyperphosphorylated RyR2, in combination with larger I NCX for a given SR Ca 2+ release and increased diastolic [Ca 2+] i-voltage coupling gain, causes AF-promoting atrial delayed afterdepolarizations/triggered activity in cAF patients. © 2012 American Heart Association, Inc.","author":[{"dropping-particle":"","family":"Voigt","given":"Niels","non-dropping-particle":"","parse-names":false,"suffix":""},{"dropping-particle":"","family":"Li","given":"Na","non-dropping-particle":"","parse-names":false,"suffix":""},{"dropping-particle":"","family":"Wang","given":"Qiongling","non-dropping-particle":"","parse-names":false,"suffix":""},{"dropping-particle":"","family":"Wang","given":"Wei","non-dropping-particle":"","parse-names":false,"suffix":""},{"dropping-particle":"","family":"Trafford","given":"Andrew W.","non-dropping-particle":"","parse-names":false,"suffix":""},{"dropping-particle":"","family":"Abu-Taha","given":"Issam","non-dropping-particle":"","parse-names":false,"suffix":""},{"dropping-particle":"","family":"Sun","given":"Qiang","non-dropping-particle":"","parse-names":false,"suffix":""},{"dropping-particle":"","family":"Wieland","given":"Thomas","non-dropping-particle":"","parse-names":false,"suffix":""},{"dropping-particle":"","family":"Ravens","given":"Ursula","non-dropping-particle":"","parse-names":false,"suffix":""},{"dropping-particle":"","family":"Nattel","given":"Stanley","non-dropping-particle":"","parse-names":false,"suffix":""},{"dropping-particle":"","family":"Wehrens","given":"Xander H.T.","non-dropping-particle":"","parse-names":false,"suffix":""},{"dropping-particle":"","family":"Dobrev","given":"Dobromir","non-dropping-particle":"","parse-names":false,"suffix":""}],"container-title":"Circulation","id":"ITEM-1","issue":"17","issued":{"date-parts":[["2012"]]},"page":"2059-2070","title":"Enhanced sarcoplasmic reticulum Ca 2+ Leak and increased Na +-Ca 2+ exchanger function underlie delayed afterdepolarizations in patients with chronic atrial fibrillation","type":"article-journal","volume":"125"},"uris":["http://www.mendeley.com/documents/?uuid=e0bcb7e0-8d09-448a-a146-c0fd272bdc59"]},{"id":"ITEM-2","itemData":{"DOI":"10.1161/circulationaha.123.066577","ISSN":"0009-7322","abstract":"BACKGROUND:Alterations in the buffering of intracellular Ca2+, for which myofilament proteins play a key role, have been shown to promote cardiac arrhythmia. It is interesting that although studies...","author":[{"dropping-particle":"","family":"Fakuade","given":"Funsho E.","non-dropping-particle":"","parse-names":false,"suffix":""},{"dropping-particle":"","family":"Hubricht","given":"Dominik","non-dropping-particle":"","parse-names":false,"suffix":""},{"dropping-particle":"","family":"Möller","given":"Vanessa","non-dropping-particle":"","parse-names":false,"suffix":""},{"dropping-particle":"","family":"Sobitov","given":"Izzatullo","non-dropping-particle":"","parse-names":false,"suffix":""},{"dropping-particle":"","family":"Liutkute","given":"Aiste","non-dropping-particle":"","parse-names":false,"suffix":""},{"dropping-particle":"","family":"Döring","given":"Yannic","non-dropping-particle":"","parse-names":false,"suffix":""},{"dropping-particle":"","family":"Seibertz","given":"Fitzwilliam","non-dropping-particle":"","parse-names":false,"suffix":""},{"dropping-particle":"","family":"Gerloff","given":"Marcus","non-dropping-particle":"","parse-names":false,"suffix":""},{"dropping-particle":"","family":"Pronto","given":"Julius Ryan D.","non-dropping-particle":"","parse-names":false,"suffix":""},{"dropping-particle":"","family":"Haghighi","given":"Fereshteh","non-dropping-particle":"","parse-names":false,"suffix":""},{"dropping-particle":"","family":"Brandenburg","given":"Sören","non-dropping-particle":"","parse-names":false,"suffix":""},{"dropping-particle":"","family":"Alhussini","given":"Khaled","non-dropping-particle":"","parse-names":false,"suffix":""},{"dropping-particle":"","family":"Ignatyeva","given":"Nadezda","non-dropping-particle":"","parse-names":false,"suffix":""},{"dropping-particle":"","family":"Bonhoff","given":"Yara","non-dropping-particle":"","parse-names":false,"suffix":""},{"dropping-particle":"","family":"Kestel","given":"Stefanie","non-dropping-particle":"","parse-names":false,"suffix":""},{"dropping-particle":"","family":"El-Essawi","given":"Aschraf","non-dropping-particle":"","parse-names":false,"suffix":""},{"dropping-particle":"","family":"Jebran","given":"Ahmad Fawad","non-dropping-particle":"","parse-names":false,"suffix":""},{"dropping-particle":"","family":"Großmann","given":"Marius","non-dropping-particle":"","parse-names":false,"suffix":""},{"dropping-particle":"","family":"Danner","given":"Bernhard C.","non-dropping-particle":"","parse-names":false,"suffix":""},{"dropping-particle":"","family":"Baraki","given":"Hassina","non-dropping-particle":"","parse-names":false,"suffix":""},{"dropping-particle":"","family":"Schmidt","given":"Constanze","non-dropping-particle":"","parse-names":false,"suffix":""},{"dropping-particle":"","family":"Sossalla","given":"Samuel","non-dropping-particle":"","parse-names":false,"suffix":""},{"dropping-particle":"","family":"Kutschka","given":"Ingo","non-dropping-particle":"","parse-names":false,"suffix":""},{"dropping-particle":"","family":"Bening","given":"Constanze","non-dropping-particle":"","parse-names":false,"suffix":""},{"dropping-particle":"","family":"Maack","given":"Christoph","non-dropping-particle":"","parse-names":false,"suffix":""},{"dropping-particle":"","family":"Linke","given":"Wolfgang A.","non-dropping-particle":"","parse-names":false,"suffix":""},{"dropping-particle":"","family":"Heijman","given":"Jordi","non-dropping-particle":"","parse-names":false,"suffix":""},{"dropping-particle":"","family":"Lehnart","given":"Stephan E.","non-dropping-particle":"","parse-names":false,"suffix":""},{"dropping-particle":"","family":"Kensah","given":"George","non-dropping-particle":"","parse-names":false,"suffix":""},{"dropping-particle":"","family":"Ebert","given":"Antje","non-dropping-particle":"","parse-names":false,"suffix":""},{"dropping-particle":"","family":"Mason","given":"Fleur E.","non-dropping-particle":"","parse-names":false,"suffix":""},{"dropping-particle":"","family":"Voigt","given":"Niels","non-dropping-particle":"","parse-names":false,"suffix":""}],"container-title":"Circulation","id":"ITEM-2","issued":{"date-parts":[["2024"]]},"page":"544-559","title":"Impaired Intracellular Calcium Buffering Contributes to the Arrhythmogenic Substrate in Atrial Myocytes From Patients With Atrial Fibrillation","type":"article-journal"},"uris":["http://www.mendeley.com/documents/?uuid=73500aee-7003-4756-a32a-d5f487c53c5d"]}],"mendeley":{"formattedCitation":"&lt;sup&gt;16,17&lt;/sup&gt;","plainTextFormattedCitation":"16,17","previouslyFormattedCitation":"&lt;sup&gt;16,17&lt;/sup&gt;"},"properties":{"noteIndex":0},"schema":"https://github.com/citation-style-language/schema/raw/master/csl-citation.json"}</w:instrText>
      </w:r>
      <w:r w:rsidR="00FB46BB">
        <w:rPr>
          <w:color w:val="000000" w:themeColor="text1"/>
          <w:sz w:val="24"/>
          <w:lang w:val="en-US"/>
        </w:rPr>
        <w:fldChar w:fldCharType="separate"/>
      </w:r>
      <w:r w:rsidR="00D0477F" w:rsidRPr="00D0477F">
        <w:rPr>
          <w:noProof/>
          <w:color w:val="000000" w:themeColor="text1"/>
          <w:sz w:val="24"/>
          <w:vertAlign w:val="superscript"/>
          <w:lang w:val="en-US"/>
        </w:rPr>
        <w:t>16,17</w:t>
      </w:r>
      <w:r w:rsidR="00FB46BB">
        <w:rPr>
          <w:color w:val="000000" w:themeColor="text1"/>
          <w:sz w:val="24"/>
          <w:lang w:val="en-US"/>
        </w:rPr>
        <w:fldChar w:fldCharType="end"/>
      </w:r>
      <w:r w:rsidRPr="00FB46BB">
        <w:rPr>
          <w:color w:val="000000" w:themeColor="text1"/>
          <w:sz w:val="24"/>
          <w:lang w:val="en-US"/>
        </w:rPr>
        <w:t xml:space="preserve">. </w:t>
      </w:r>
      <w:r w:rsidR="00123425" w:rsidRPr="00123425">
        <w:rPr>
          <w:color w:val="000000" w:themeColor="text1"/>
          <w:sz w:val="24"/>
          <w:lang w:val="en-US"/>
        </w:rPr>
        <w:t xml:space="preserve">Both </w:t>
      </w:r>
      <w:r w:rsidR="00123425">
        <w:rPr>
          <w:color w:val="000000" w:themeColor="text1"/>
          <w:sz w:val="24"/>
          <w:lang w:val="en-US"/>
        </w:rPr>
        <w:t>p</w:t>
      </w:r>
      <w:r w:rsidR="00123425" w:rsidRPr="00123425">
        <w:rPr>
          <w:color w:val="000000" w:themeColor="text1"/>
          <w:sz w:val="24"/>
          <w:lang w:val="en-US"/>
        </w:rPr>
        <w:t>rimary and secondary antibodies (Table S</w:t>
      </w:r>
      <w:r w:rsidR="00664149">
        <w:rPr>
          <w:color w:val="000000" w:themeColor="text1"/>
          <w:sz w:val="24"/>
          <w:lang w:val="en-US"/>
        </w:rPr>
        <w:t>4</w:t>
      </w:r>
      <w:r w:rsidR="00123425" w:rsidRPr="00123425">
        <w:rPr>
          <w:color w:val="000000" w:themeColor="text1"/>
          <w:sz w:val="24"/>
          <w:lang w:val="en-US"/>
        </w:rPr>
        <w:t xml:space="preserve">) were diluted in </w:t>
      </w:r>
      <w:r w:rsidR="00123425">
        <w:rPr>
          <w:color w:val="000000" w:themeColor="text1"/>
          <w:sz w:val="24"/>
          <w:lang w:val="en-US"/>
        </w:rPr>
        <w:t>1x Roti-Block (Carl Roth) buffer</w:t>
      </w:r>
      <w:r w:rsidR="00123425" w:rsidRPr="00123425">
        <w:rPr>
          <w:color w:val="000000" w:themeColor="text1"/>
          <w:sz w:val="24"/>
          <w:lang w:val="en-US"/>
        </w:rPr>
        <w:t xml:space="preserve"> and incubated with the membranes at</w:t>
      </w:r>
      <w:r w:rsidR="008B5CFD">
        <w:rPr>
          <w:color w:val="000000" w:themeColor="text1"/>
          <w:sz w:val="24"/>
          <w:lang w:val="en-US"/>
        </w:rPr>
        <w:t xml:space="preserve"> 4</w:t>
      </w:r>
      <w:r w:rsidR="00123425">
        <w:rPr>
          <w:rFonts w:cs="Calibri"/>
          <w:color w:val="000000" w:themeColor="text1"/>
          <w:sz w:val="24"/>
          <w:lang w:val="en-US"/>
        </w:rPr>
        <w:t>°</w:t>
      </w:r>
      <w:r w:rsidR="00123425">
        <w:rPr>
          <w:color w:val="000000" w:themeColor="text1"/>
          <w:sz w:val="24"/>
          <w:lang w:val="en-US"/>
        </w:rPr>
        <w:t>C overnight or at room temperature for 1 h, respectively</w:t>
      </w:r>
      <w:r w:rsidR="00123425" w:rsidRPr="00123425">
        <w:rPr>
          <w:color w:val="000000" w:themeColor="text1"/>
          <w:sz w:val="24"/>
          <w:lang w:val="en-US"/>
        </w:rPr>
        <w:t xml:space="preserve">. Blots were imaged using Azure Sapphire system (Azure Biosystems) and </w:t>
      </w:r>
      <w:proofErr w:type="spellStart"/>
      <w:r w:rsidR="00123425" w:rsidRPr="00123425">
        <w:rPr>
          <w:color w:val="000000" w:themeColor="text1"/>
          <w:sz w:val="24"/>
          <w:lang w:val="en-US"/>
        </w:rPr>
        <w:t>analysed</w:t>
      </w:r>
      <w:proofErr w:type="spellEnd"/>
      <w:r w:rsidR="00123425" w:rsidRPr="00123425">
        <w:rPr>
          <w:color w:val="000000" w:themeColor="text1"/>
          <w:sz w:val="24"/>
          <w:lang w:val="en-US"/>
        </w:rPr>
        <w:t xml:space="preserve"> using Image Studio Lite v.5.2.</w:t>
      </w:r>
      <w:r w:rsidR="00DD7C2F">
        <w:rPr>
          <w:color w:val="000000" w:themeColor="text1"/>
          <w:sz w:val="24"/>
          <w:lang w:val="en-US"/>
        </w:rPr>
        <w:t xml:space="preserve"> </w:t>
      </w:r>
    </w:p>
    <w:p w14:paraId="03A2A105" w14:textId="7FFA2606" w:rsidR="00043315" w:rsidRPr="00252D88" w:rsidRDefault="00043315" w:rsidP="00043315">
      <w:pPr>
        <w:jc w:val="both"/>
        <w:rPr>
          <w:color w:val="000000" w:themeColor="text1"/>
          <w:sz w:val="24"/>
          <w:lang w:val="en-US"/>
        </w:rPr>
      </w:pPr>
      <w:r w:rsidRPr="00252D88">
        <w:rPr>
          <w:color w:val="000000" w:themeColor="text1"/>
          <w:sz w:val="24"/>
          <w:lang w:val="en-US"/>
        </w:rPr>
        <w:t xml:space="preserve">Each band represents a single patient sample. The signal intensity of each target protein band was normalized to the corresponding </w:t>
      </w:r>
      <w:proofErr w:type="spellStart"/>
      <w:r w:rsidRPr="00252D88">
        <w:rPr>
          <w:color w:val="000000" w:themeColor="text1"/>
          <w:sz w:val="24"/>
          <w:lang w:val="en-US"/>
        </w:rPr>
        <w:t>calsequestrin</w:t>
      </w:r>
      <w:proofErr w:type="spellEnd"/>
      <w:r w:rsidRPr="00252D88">
        <w:rPr>
          <w:color w:val="000000" w:themeColor="text1"/>
          <w:sz w:val="24"/>
          <w:lang w:val="en-US"/>
        </w:rPr>
        <w:t xml:space="preserve"> band, which served as the loading control.</w:t>
      </w:r>
    </w:p>
    <w:p w14:paraId="7FF3228C" w14:textId="5F7B2CA4" w:rsidR="00EB254F" w:rsidRPr="00F34506" w:rsidRDefault="00043315" w:rsidP="00F34506">
      <w:pPr>
        <w:jc w:val="both"/>
        <w:rPr>
          <w:color w:val="000000" w:themeColor="text1"/>
          <w:sz w:val="24"/>
          <w:lang w:val="en-US"/>
        </w:rPr>
      </w:pPr>
      <w:r w:rsidRPr="00252D88">
        <w:rPr>
          <w:color w:val="000000" w:themeColor="text1"/>
          <w:sz w:val="24"/>
          <w:lang w:val="en-US"/>
        </w:rPr>
        <w:t xml:space="preserve">For RA-SR </w:t>
      </w:r>
      <w:r w:rsidRPr="00252D88">
        <w:rPr>
          <w:i/>
          <w:color w:val="000000" w:themeColor="text1"/>
          <w:sz w:val="24"/>
          <w:lang w:val="en-US"/>
        </w:rPr>
        <w:t>vs</w:t>
      </w:r>
      <w:r w:rsidRPr="00252D88">
        <w:rPr>
          <w:color w:val="000000" w:themeColor="text1"/>
          <w:sz w:val="24"/>
          <w:lang w:val="en-US"/>
        </w:rPr>
        <w:t xml:space="preserve"> RA-</w:t>
      </w:r>
      <w:proofErr w:type="spellStart"/>
      <w:r w:rsidRPr="00252D88">
        <w:rPr>
          <w:color w:val="000000" w:themeColor="text1"/>
          <w:sz w:val="24"/>
          <w:lang w:val="en-US"/>
        </w:rPr>
        <w:t>persAF</w:t>
      </w:r>
      <w:proofErr w:type="spellEnd"/>
      <w:r w:rsidRPr="00252D88">
        <w:rPr>
          <w:color w:val="000000" w:themeColor="text1"/>
          <w:sz w:val="24"/>
          <w:lang w:val="en-US"/>
        </w:rPr>
        <w:t xml:space="preserve"> comparisons, CSQ-normalized values were further normalized to the mean CSQ-normalized value of the RA-SR group per gel. </w:t>
      </w:r>
      <w:r w:rsidR="000A7020" w:rsidRPr="00252D88">
        <w:rPr>
          <w:color w:val="000000" w:themeColor="text1"/>
          <w:sz w:val="24"/>
          <w:lang w:val="en-US"/>
        </w:rPr>
        <w:t xml:space="preserve">For comparisons involving LA-SR </w:t>
      </w:r>
      <w:r w:rsidR="000A7020" w:rsidRPr="00252D88">
        <w:rPr>
          <w:i/>
          <w:color w:val="000000" w:themeColor="text1"/>
          <w:sz w:val="24"/>
          <w:lang w:val="en-US"/>
        </w:rPr>
        <w:t>vs</w:t>
      </w:r>
      <w:r w:rsidR="000A7020" w:rsidRPr="00252D88">
        <w:rPr>
          <w:color w:val="000000" w:themeColor="text1"/>
          <w:sz w:val="24"/>
          <w:lang w:val="en-US"/>
        </w:rPr>
        <w:t xml:space="preserve"> RA-SR or LA-</w:t>
      </w:r>
      <w:proofErr w:type="spellStart"/>
      <w:r w:rsidR="000A7020" w:rsidRPr="00252D88">
        <w:rPr>
          <w:color w:val="000000" w:themeColor="text1"/>
          <w:sz w:val="24"/>
          <w:lang w:val="en-US"/>
        </w:rPr>
        <w:t>persAF</w:t>
      </w:r>
      <w:proofErr w:type="spellEnd"/>
      <w:r w:rsidR="000A7020" w:rsidRPr="00252D88">
        <w:rPr>
          <w:color w:val="000000" w:themeColor="text1"/>
          <w:sz w:val="24"/>
          <w:lang w:val="en-US"/>
        </w:rPr>
        <w:t xml:space="preserve"> </w:t>
      </w:r>
      <w:r w:rsidR="000A7020" w:rsidRPr="00252D88">
        <w:rPr>
          <w:i/>
          <w:color w:val="000000" w:themeColor="text1"/>
          <w:sz w:val="24"/>
          <w:lang w:val="en-US"/>
        </w:rPr>
        <w:t>vs</w:t>
      </w:r>
      <w:r w:rsidRPr="00252D88">
        <w:rPr>
          <w:color w:val="000000" w:themeColor="text1"/>
          <w:sz w:val="24"/>
          <w:lang w:val="en-US"/>
        </w:rPr>
        <w:t xml:space="preserve"> RA-</w:t>
      </w:r>
      <w:proofErr w:type="spellStart"/>
      <w:r w:rsidRPr="00252D88">
        <w:rPr>
          <w:color w:val="000000" w:themeColor="text1"/>
          <w:sz w:val="24"/>
          <w:lang w:val="en-US"/>
        </w:rPr>
        <w:t>persAF</w:t>
      </w:r>
      <w:proofErr w:type="spellEnd"/>
      <w:r w:rsidRPr="00252D88">
        <w:rPr>
          <w:color w:val="000000" w:themeColor="text1"/>
          <w:sz w:val="24"/>
          <w:lang w:val="en-US"/>
        </w:rPr>
        <w:t>, CSQ-normalized values were normalized to the mean CSQ-</w:t>
      </w:r>
      <w:r w:rsidRPr="00252D88">
        <w:rPr>
          <w:color w:val="000000" w:themeColor="text1"/>
          <w:sz w:val="24"/>
          <w:lang w:val="en-US"/>
        </w:rPr>
        <w:lastRenderedPageBreak/>
        <w:t xml:space="preserve">normalized value of the LA-SR </w:t>
      </w:r>
      <w:r w:rsidR="000A7020" w:rsidRPr="00252D88">
        <w:rPr>
          <w:color w:val="000000" w:themeColor="text1"/>
          <w:sz w:val="24"/>
          <w:lang w:val="en-US"/>
        </w:rPr>
        <w:t>or LA-</w:t>
      </w:r>
      <w:proofErr w:type="spellStart"/>
      <w:r w:rsidR="000A7020" w:rsidRPr="00252D88">
        <w:rPr>
          <w:color w:val="000000" w:themeColor="text1"/>
          <w:sz w:val="24"/>
          <w:lang w:val="en-US"/>
        </w:rPr>
        <w:t>persAF</w:t>
      </w:r>
      <w:proofErr w:type="spellEnd"/>
      <w:r w:rsidR="000A7020" w:rsidRPr="00252D88">
        <w:rPr>
          <w:color w:val="000000" w:themeColor="text1"/>
          <w:sz w:val="24"/>
          <w:lang w:val="en-US"/>
        </w:rPr>
        <w:t xml:space="preserve"> group per gel, respectively.</w:t>
      </w:r>
      <w:r w:rsidR="004A4E01">
        <w:rPr>
          <w:color w:val="000000" w:themeColor="text1"/>
          <w:sz w:val="24"/>
          <w:lang w:val="en-US"/>
        </w:rPr>
        <w:t xml:space="preserve"> </w:t>
      </w:r>
      <w:r w:rsidRPr="00252D88">
        <w:rPr>
          <w:color w:val="000000" w:themeColor="text1"/>
          <w:sz w:val="24"/>
          <w:lang w:val="en-US"/>
        </w:rPr>
        <w:t xml:space="preserve">All uncut and unedited blot images are provided in Supplementary </w:t>
      </w:r>
      <w:r w:rsidR="008E7733" w:rsidRPr="00252D88">
        <w:rPr>
          <w:color w:val="000000" w:themeColor="text1"/>
          <w:sz w:val="24"/>
          <w:lang w:val="en-US"/>
        </w:rPr>
        <w:t>Material</w:t>
      </w:r>
      <w:r w:rsidRPr="00252D88">
        <w:rPr>
          <w:color w:val="000000" w:themeColor="text1"/>
          <w:sz w:val="24"/>
          <w:lang w:val="en-US"/>
        </w:rPr>
        <w:t>.</w:t>
      </w:r>
    </w:p>
    <w:p w14:paraId="2D814DA5" w14:textId="353DF86D" w:rsidR="00EB254F" w:rsidRDefault="00B91D42" w:rsidP="00EB254F">
      <w:pPr>
        <w:pStyle w:val="Heading1"/>
        <w:rPr>
          <w:rFonts w:ascii="Calibri" w:hAnsi="Calibri" w:cs="Calibri"/>
          <w:sz w:val="32"/>
          <w:lang w:val="en-US"/>
        </w:rPr>
      </w:pPr>
      <w:bookmarkStart w:id="17" w:name="_Toc218605968"/>
      <w:r>
        <w:rPr>
          <w:rFonts w:ascii="Calibri" w:hAnsi="Calibri" w:cs="Calibri"/>
          <w:sz w:val="32"/>
          <w:lang w:val="en-US"/>
        </w:rPr>
        <w:lastRenderedPageBreak/>
        <w:t xml:space="preserve">Supplemental </w:t>
      </w:r>
      <w:r w:rsidR="00F17ECA">
        <w:rPr>
          <w:rFonts w:ascii="Calibri" w:hAnsi="Calibri" w:cs="Calibri"/>
          <w:sz w:val="32"/>
          <w:lang w:val="en-US"/>
        </w:rPr>
        <w:t>T</w:t>
      </w:r>
      <w:r>
        <w:rPr>
          <w:rFonts w:ascii="Calibri" w:hAnsi="Calibri" w:cs="Calibri"/>
          <w:sz w:val="32"/>
          <w:lang w:val="en-US"/>
        </w:rPr>
        <w:t>ables</w:t>
      </w:r>
      <w:bookmarkEnd w:id="17"/>
    </w:p>
    <w:p w14:paraId="06C3283A" w14:textId="77777777" w:rsidR="004F11C1" w:rsidRPr="00B91D42" w:rsidRDefault="004F11C1" w:rsidP="004F11C1">
      <w:pPr>
        <w:spacing w:after="0"/>
        <w:rPr>
          <w:lang w:val="en-US"/>
        </w:rPr>
      </w:pPr>
      <w:r w:rsidRPr="004F11C1">
        <w:rPr>
          <w:b/>
          <w:bCs/>
          <w:color w:val="000000" w:themeColor="text1"/>
          <w:sz w:val="24"/>
          <w:szCs w:val="24"/>
          <w:lang w:val="en-US"/>
        </w:rPr>
        <w:t>Table S1. Description of supplementary data files</w:t>
      </w:r>
    </w:p>
    <w:tbl>
      <w:tblPr>
        <w:tblW w:w="0" w:type="auto"/>
        <w:tblBorders>
          <w:top w:val="single" w:sz="12" w:space="0" w:color="008000"/>
          <w:bottom w:val="single" w:sz="12" w:space="0" w:color="008000"/>
        </w:tblBorders>
        <w:tblLayout w:type="fixed"/>
        <w:tblLook w:val="00A0" w:firstRow="1" w:lastRow="0" w:firstColumn="1" w:lastColumn="0" w:noHBand="0" w:noVBand="0"/>
      </w:tblPr>
      <w:tblGrid>
        <w:gridCol w:w="2551"/>
        <w:gridCol w:w="6463"/>
      </w:tblGrid>
      <w:tr w:rsidR="004F11C1" w:rsidRPr="009241AE" w14:paraId="576F7686" w14:textId="77777777" w:rsidTr="00B84FC8">
        <w:tc>
          <w:tcPr>
            <w:tcW w:w="2551" w:type="dxa"/>
            <w:tcBorders>
              <w:top w:val="single" w:sz="12" w:space="0" w:color="000000"/>
              <w:bottom w:val="single" w:sz="6" w:space="0" w:color="000000"/>
            </w:tcBorders>
          </w:tcPr>
          <w:p w14:paraId="07EAFD2F" w14:textId="77777777" w:rsidR="004F11C1" w:rsidRPr="009241AE" w:rsidRDefault="004F11C1" w:rsidP="00B84FC8">
            <w:pPr>
              <w:widowControl w:val="0"/>
              <w:spacing w:before="60" w:after="60" w:line="240" w:lineRule="auto"/>
              <w:jc w:val="center"/>
              <w:rPr>
                <w:rFonts w:eastAsia="Times New Roman" w:cs="Calibri"/>
                <w:b/>
                <w:szCs w:val="24"/>
                <w:lang w:val="en-US" w:eastAsia="de-DE"/>
              </w:rPr>
            </w:pPr>
            <w:r w:rsidRPr="000F0E0B">
              <w:rPr>
                <w:b/>
                <w:lang w:val="en-US"/>
              </w:rPr>
              <w:t>File name</w:t>
            </w:r>
          </w:p>
        </w:tc>
        <w:tc>
          <w:tcPr>
            <w:tcW w:w="6463" w:type="dxa"/>
            <w:tcBorders>
              <w:top w:val="single" w:sz="12" w:space="0" w:color="000000"/>
              <w:bottom w:val="single" w:sz="6" w:space="0" w:color="000000"/>
            </w:tcBorders>
          </w:tcPr>
          <w:p w14:paraId="5CFFABD2" w14:textId="77777777" w:rsidR="004F11C1" w:rsidRPr="009241AE" w:rsidRDefault="004F11C1" w:rsidP="00B84FC8">
            <w:pPr>
              <w:widowControl w:val="0"/>
              <w:spacing w:before="60" w:after="60" w:line="240" w:lineRule="auto"/>
              <w:jc w:val="center"/>
              <w:rPr>
                <w:rFonts w:eastAsia="Times New Roman" w:cs="Calibri"/>
                <w:b/>
                <w:szCs w:val="24"/>
                <w:lang w:val="en-US" w:eastAsia="de-DE"/>
              </w:rPr>
            </w:pPr>
            <w:r w:rsidRPr="000F0E0B">
              <w:rPr>
                <w:b/>
                <w:lang w:val="en-US"/>
              </w:rPr>
              <w:t>Description</w:t>
            </w:r>
          </w:p>
        </w:tc>
      </w:tr>
      <w:tr w:rsidR="004F11C1" w:rsidRPr="004F11C1" w14:paraId="5365C7D8" w14:textId="77777777" w:rsidTr="00B84FC8">
        <w:trPr>
          <w:trHeight w:val="828"/>
        </w:trPr>
        <w:tc>
          <w:tcPr>
            <w:tcW w:w="2551" w:type="dxa"/>
            <w:vAlign w:val="center"/>
          </w:tcPr>
          <w:p w14:paraId="6A22C759" w14:textId="77777777" w:rsidR="004F11C1" w:rsidRPr="009241AE" w:rsidRDefault="004F11C1" w:rsidP="00B84FC8">
            <w:pPr>
              <w:widowControl w:val="0"/>
              <w:spacing w:before="60" w:after="60" w:line="240" w:lineRule="auto"/>
              <w:jc w:val="center"/>
              <w:rPr>
                <w:rFonts w:eastAsia="Times New Roman" w:cs="Calibri"/>
                <w:szCs w:val="24"/>
                <w:lang w:val="en-US" w:eastAsia="de-DE"/>
              </w:rPr>
            </w:pPr>
            <w:r w:rsidRPr="000F0E0B">
              <w:rPr>
                <w:lang w:val="en-US"/>
              </w:rPr>
              <w:t>Supplementary Data 1</w:t>
            </w:r>
          </w:p>
        </w:tc>
        <w:tc>
          <w:tcPr>
            <w:tcW w:w="6463" w:type="dxa"/>
            <w:vAlign w:val="center"/>
          </w:tcPr>
          <w:p w14:paraId="534684E9" w14:textId="72AF2C78" w:rsidR="004F11C1" w:rsidRPr="004F11C1" w:rsidRDefault="004F11C1" w:rsidP="00B84FC8">
            <w:pPr>
              <w:widowControl w:val="0"/>
              <w:spacing w:before="60" w:after="60" w:line="240" w:lineRule="auto"/>
              <w:jc w:val="center"/>
              <w:rPr>
                <w:rFonts w:cs="Calibri"/>
                <w:szCs w:val="24"/>
                <w:lang w:val="en-US"/>
              </w:rPr>
            </w:pPr>
            <w:r w:rsidRPr="004F11C1">
              <w:rPr>
                <w:lang w:val="en-US"/>
              </w:rPr>
              <w:t>Proteome Profiling Data</w:t>
            </w:r>
          </w:p>
        </w:tc>
      </w:tr>
      <w:tr w:rsidR="004F11C1" w:rsidRPr="004F11C1" w14:paraId="719AEF97" w14:textId="77777777" w:rsidTr="00B84FC8">
        <w:trPr>
          <w:trHeight w:val="828"/>
        </w:trPr>
        <w:tc>
          <w:tcPr>
            <w:tcW w:w="2551" w:type="dxa"/>
            <w:vAlign w:val="center"/>
          </w:tcPr>
          <w:p w14:paraId="02B08436" w14:textId="77777777" w:rsidR="004F11C1" w:rsidRPr="009241AE" w:rsidRDefault="004F11C1" w:rsidP="00B84FC8">
            <w:pPr>
              <w:widowControl w:val="0"/>
              <w:spacing w:before="60" w:after="60" w:line="240" w:lineRule="auto"/>
              <w:jc w:val="center"/>
              <w:rPr>
                <w:rFonts w:eastAsia="Times New Roman" w:cs="Calibri"/>
                <w:szCs w:val="24"/>
                <w:lang w:val="en-US" w:eastAsia="de-DE"/>
              </w:rPr>
            </w:pPr>
            <w:r>
              <w:rPr>
                <w:lang w:val="en-US"/>
              </w:rPr>
              <w:t>Supplementary Data 2</w:t>
            </w:r>
          </w:p>
        </w:tc>
        <w:tc>
          <w:tcPr>
            <w:tcW w:w="6463" w:type="dxa"/>
            <w:vAlign w:val="center"/>
          </w:tcPr>
          <w:p w14:paraId="48CCBDD2" w14:textId="724F04B5" w:rsidR="004F11C1" w:rsidRPr="004F11C1" w:rsidRDefault="004F11C1" w:rsidP="00B84FC8">
            <w:pPr>
              <w:widowControl w:val="0"/>
              <w:spacing w:before="60" w:after="60" w:line="240" w:lineRule="auto"/>
              <w:jc w:val="center"/>
              <w:rPr>
                <w:rFonts w:cs="Calibri"/>
                <w:szCs w:val="24"/>
                <w:lang w:val="en-US"/>
              </w:rPr>
            </w:pPr>
            <w:r w:rsidRPr="004F11C1">
              <w:rPr>
                <w:lang w:val="en-US"/>
              </w:rPr>
              <w:t>Log</w:t>
            </w:r>
            <w:r w:rsidRPr="004F11C1">
              <w:rPr>
                <w:vertAlign w:val="subscript"/>
                <w:lang w:val="en-US"/>
              </w:rPr>
              <w:t>2</w:t>
            </w:r>
            <w:r w:rsidRPr="004F11C1">
              <w:rPr>
                <w:lang w:val="en-US"/>
              </w:rPr>
              <w:t xml:space="preserve"> FC and adj. </w:t>
            </w:r>
            <w:r w:rsidRPr="004F11C1">
              <w:rPr>
                <w:i/>
                <w:lang w:val="en-US"/>
              </w:rPr>
              <w:t>p</w:t>
            </w:r>
            <w:r w:rsidRPr="004F11C1">
              <w:rPr>
                <w:lang w:val="en-US"/>
              </w:rPr>
              <w:t xml:space="preserve"> values from the GEE model for RA-</w:t>
            </w:r>
            <w:proofErr w:type="spellStart"/>
            <w:r w:rsidRPr="004F11C1">
              <w:rPr>
                <w:lang w:val="en-US"/>
              </w:rPr>
              <w:t>persAF</w:t>
            </w:r>
            <w:proofErr w:type="spellEnd"/>
            <w:r w:rsidRPr="004F11C1">
              <w:rPr>
                <w:lang w:val="en-US"/>
              </w:rPr>
              <w:t xml:space="preserve"> vs RA-SR, including volcano plot dataset</w:t>
            </w:r>
          </w:p>
        </w:tc>
      </w:tr>
      <w:tr w:rsidR="004F11C1" w:rsidRPr="004F11C1" w14:paraId="6D248852" w14:textId="77777777" w:rsidTr="00B84FC8">
        <w:trPr>
          <w:trHeight w:val="828"/>
        </w:trPr>
        <w:tc>
          <w:tcPr>
            <w:tcW w:w="2551" w:type="dxa"/>
            <w:vAlign w:val="center"/>
          </w:tcPr>
          <w:p w14:paraId="5FE65D94" w14:textId="77777777" w:rsidR="004F11C1" w:rsidRPr="009241AE" w:rsidRDefault="004F11C1" w:rsidP="00B84FC8">
            <w:pPr>
              <w:widowControl w:val="0"/>
              <w:spacing w:before="60" w:after="60" w:line="240" w:lineRule="auto"/>
              <w:jc w:val="center"/>
              <w:rPr>
                <w:rFonts w:eastAsia="Times New Roman" w:cs="Calibri"/>
                <w:szCs w:val="24"/>
                <w:lang w:val="en-US" w:eastAsia="de-DE"/>
              </w:rPr>
            </w:pPr>
            <w:r>
              <w:rPr>
                <w:lang w:val="en-US"/>
              </w:rPr>
              <w:t>Supplementary Data 3</w:t>
            </w:r>
          </w:p>
        </w:tc>
        <w:tc>
          <w:tcPr>
            <w:tcW w:w="6463" w:type="dxa"/>
            <w:vAlign w:val="center"/>
          </w:tcPr>
          <w:p w14:paraId="23A0DBFF" w14:textId="605C7E5F" w:rsidR="004F11C1" w:rsidRPr="004F11C1" w:rsidRDefault="004F11C1" w:rsidP="00B84FC8">
            <w:pPr>
              <w:widowControl w:val="0"/>
              <w:spacing w:before="60" w:after="60" w:line="240" w:lineRule="auto"/>
              <w:jc w:val="center"/>
              <w:rPr>
                <w:rFonts w:cs="Calibri"/>
                <w:szCs w:val="24"/>
                <w:lang w:val="en-US"/>
              </w:rPr>
            </w:pPr>
            <w:r w:rsidRPr="004F11C1">
              <w:rPr>
                <w:lang w:val="en-US"/>
              </w:rPr>
              <w:t>Summary results of GWAS overlap with RA-</w:t>
            </w:r>
            <w:proofErr w:type="spellStart"/>
            <w:r w:rsidRPr="004F11C1">
              <w:rPr>
                <w:lang w:val="en-US"/>
              </w:rPr>
              <w:t>persAF</w:t>
            </w:r>
            <w:proofErr w:type="spellEnd"/>
            <w:r w:rsidRPr="004F11C1">
              <w:rPr>
                <w:lang w:val="en-US"/>
              </w:rPr>
              <w:t xml:space="preserve"> markers relative to RA-SR</w:t>
            </w:r>
          </w:p>
        </w:tc>
      </w:tr>
      <w:tr w:rsidR="004F11C1" w:rsidRPr="004F11C1" w14:paraId="42EFBA33" w14:textId="77777777" w:rsidTr="00B84FC8">
        <w:trPr>
          <w:trHeight w:val="828"/>
        </w:trPr>
        <w:tc>
          <w:tcPr>
            <w:tcW w:w="2551" w:type="dxa"/>
            <w:vAlign w:val="center"/>
          </w:tcPr>
          <w:p w14:paraId="2D8EA4F5" w14:textId="77777777" w:rsidR="004F11C1" w:rsidRPr="009241AE" w:rsidRDefault="004F11C1" w:rsidP="00B84FC8">
            <w:pPr>
              <w:widowControl w:val="0"/>
              <w:spacing w:before="60" w:after="60" w:line="240" w:lineRule="auto"/>
              <w:jc w:val="center"/>
              <w:rPr>
                <w:rFonts w:eastAsia="Times New Roman" w:cs="Calibri"/>
                <w:szCs w:val="24"/>
                <w:lang w:val="en-US" w:eastAsia="de-DE"/>
              </w:rPr>
            </w:pPr>
            <w:r>
              <w:rPr>
                <w:lang w:val="en-US"/>
              </w:rPr>
              <w:t>Supplementary Data 4</w:t>
            </w:r>
          </w:p>
        </w:tc>
        <w:tc>
          <w:tcPr>
            <w:tcW w:w="6463" w:type="dxa"/>
            <w:vAlign w:val="center"/>
          </w:tcPr>
          <w:p w14:paraId="545B0586" w14:textId="4283396B" w:rsidR="004F11C1" w:rsidRPr="004F11C1" w:rsidRDefault="004F11C1" w:rsidP="00B84FC8">
            <w:pPr>
              <w:widowControl w:val="0"/>
              <w:spacing w:before="60" w:after="60" w:line="240" w:lineRule="auto"/>
              <w:jc w:val="center"/>
              <w:rPr>
                <w:rFonts w:eastAsia="Times New Roman" w:cs="Calibri"/>
                <w:szCs w:val="24"/>
                <w:lang w:val="en-US" w:eastAsia="de-DE"/>
              </w:rPr>
            </w:pPr>
            <w:r w:rsidRPr="004F11C1">
              <w:rPr>
                <w:lang w:val="en-US"/>
              </w:rPr>
              <w:t>Summary results of protein association network generation and pathway enrichment in RA-</w:t>
            </w:r>
            <w:proofErr w:type="spellStart"/>
            <w:r w:rsidRPr="004F11C1">
              <w:rPr>
                <w:lang w:val="en-US"/>
              </w:rPr>
              <w:t>persAF</w:t>
            </w:r>
            <w:proofErr w:type="spellEnd"/>
            <w:r w:rsidRPr="004F11C1">
              <w:rPr>
                <w:lang w:val="en-US"/>
              </w:rPr>
              <w:t xml:space="preserve"> vs RA-SR</w:t>
            </w:r>
          </w:p>
        </w:tc>
      </w:tr>
      <w:tr w:rsidR="004F11C1" w:rsidRPr="004F11C1" w14:paraId="1EF0A2CE" w14:textId="77777777" w:rsidTr="00B84FC8">
        <w:trPr>
          <w:trHeight w:val="828"/>
        </w:trPr>
        <w:tc>
          <w:tcPr>
            <w:tcW w:w="2551" w:type="dxa"/>
            <w:vAlign w:val="center"/>
          </w:tcPr>
          <w:p w14:paraId="01C70C2D" w14:textId="77777777" w:rsidR="004F11C1" w:rsidRDefault="004F11C1" w:rsidP="00B84FC8">
            <w:pPr>
              <w:widowControl w:val="0"/>
              <w:spacing w:before="60" w:after="60" w:line="240" w:lineRule="auto"/>
              <w:jc w:val="center"/>
              <w:rPr>
                <w:rFonts w:eastAsia="Times New Roman" w:cs="Calibri"/>
                <w:szCs w:val="24"/>
                <w:lang w:val="en-US" w:eastAsia="de-DE"/>
              </w:rPr>
            </w:pPr>
            <w:r>
              <w:rPr>
                <w:lang w:val="en-US"/>
              </w:rPr>
              <w:t>Supplementary Data 5</w:t>
            </w:r>
          </w:p>
        </w:tc>
        <w:tc>
          <w:tcPr>
            <w:tcW w:w="6463" w:type="dxa"/>
            <w:vAlign w:val="center"/>
          </w:tcPr>
          <w:p w14:paraId="4C2ABF10" w14:textId="6A685CB4" w:rsidR="004F11C1" w:rsidRPr="004F11C1" w:rsidRDefault="004F11C1" w:rsidP="00B84FC8">
            <w:pPr>
              <w:widowControl w:val="0"/>
              <w:spacing w:before="60" w:after="60" w:line="240" w:lineRule="auto"/>
              <w:jc w:val="center"/>
            </w:pPr>
            <w:proofErr w:type="spellStart"/>
            <w:r w:rsidRPr="004F11C1">
              <w:rPr>
                <w:lang w:val="en-US"/>
              </w:rPr>
              <w:t>MSigDB</w:t>
            </w:r>
            <w:proofErr w:type="spellEnd"/>
            <w:r w:rsidRPr="004F11C1">
              <w:rPr>
                <w:lang w:val="en-US"/>
              </w:rPr>
              <w:t xml:space="preserve"> Hallmark 2020 analysis results for RA-</w:t>
            </w:r>
            <w:proofErr w:type="spellStart"/>
            <w:r w:rsidRPr="004F11C1">
              <w:rPr>
                <w:lang w:val="en-US"/>
              </w:rPr>
              <w:t>persAF</w:t>
            </w:r>
            <w:proofErr w:type="spellEnd"/>
            <w:r w:rsidRPr="004F11C1">
              <w:rPr>
                <w:lang w:val="en-US"/>
              </w:rPr>
              <w:t xml:space="preserve"> vs RA-SR</w:t>
            </w:r>
          </w:p>
        </w:tc>
      </w:tr>
      <w:tr w:rsidR="004F11C1" w:rsidRPr="004F11C1" w14:paraId="18A17DB4" w14:textId="77777777" w:rsidTr="00B84FC8">
        <w:trPr>
          <w:trHeight w:val="828"/>
        </w:trPr>
        <w:tc>
          <w:tcPr>
            <w:tcW w:w="2551" w:type="dxa"/>
            <w:vAlign w:val="center"/>
          </w:tcPr>
          <w:p w14:paraId="10A28916" w14:textId="77777777" w:rsidR="004F11C1" w:rsidRDefault="004F11C1" w:rsidP="00B84FC8">
            <w:pPr>
              <w:widowControl w:val="0"/>
              <w:spacing w:before="60" w:after="60" w:line="240" w:lineRule="auto"/>
              <w:jc w:val="center"/>
              <w:rPr>
                <w:rFonts w:eastAsia="Times New Roman" w:cs="Calibri"/>
                <w:szCs w:val="24"/>
                <w:lang w:val="en-US" w:eastAsia="de-DE"/>
              </w:rPr>
            </w:pPr>
            <w:r>
              <w:rPr>
                <w:lang w:val="en-US"/>
              </w:rPr>
              <w:t>Supplementary Data 6</w:t>
            </w:r>
          </w:p>
        </w:tc>
        <w:tc>
          <w:tcPr>
            <w:tcW w:w="6463" w:type="dxa"/>
            <w:vAlign w:val="center"/>
          </w:tcPr>
          <w:p w14:paraId="4671D913" w14:textId="46D13B95" w:rsidR="004F11C1" w:rsidRPr="004F11C1" w:rsidRDefault="004F11C1" w:rsidP="00B84FC8">
            <w:pPr>
              <w:widowControl w:val="0"/>
              <w:spacing w:before="60" w:after="60" w:line="240" w:lineRule="auto"/>
              <w:jc w:val="center"/>
            </w:pPr>
            <w:r w:rsidRPr="004F11C1">
              <w:rPr>
                <w:lang w:val="en-US"/>
              </w:rPr>
              <w:t>Summary results of subcellular compartmentalization assessment in RA-AF vs RA-SR</w:t>
            </w:r>
          </w:p>
        </w:tc>
      </w:tr>
      <w:tr w:rsidR="004F11C1" w:rsidRPr="004F11C1" w14:paraId="13095725" w14:textId="77777777" w:rsidTr="00B84FC8">
        <w:trPr>
          <w:trHeight w:val="828"/>
        </w:trPr>
        <w:tc>
          <w:tcPr>
            <w:tcW w:w="2551" w:type="dxa"/>
            <w:vAlign w:val="center"/>
          </w:tcPr>
          <w:p w14:paraId="06602707" w14:textId="77777777" w:rsidR="004F11C1" w:rsidRDefault="004F11C1" w:rsidP="00B84FC8">
            <w:pPr>
              <w:widowControl w:val="0"/>
              <w:spacing w:before="60" w:after="60" w:line="240" w:lineRule="auto"/>
              <w:jc w:val="center"/>
              <w:rPr>
                <w:rFonts w:eastAsia="Times New Roman" w:cs="Calibri"/>
                <w:szCs w:val="24"/>
                <w:lang w:val="en-US" w:eastAsia="de-DE"/>
              </w:rPr>
            </w:pPr>
            <w:r>
              <w:rPr>
                <w:lang w:val="en-US"/>
              </w:rPr>
              <w:t>Supplementary Data 7</w:t>
            </w:r>
          </w:p>
        </w:tc>
        <w:tc>
          <w:tcPr>
            <w:tcW w:w="6463" w:type="dxa"/>
            <w:vAlign w:val="center"/>
          </w:tcPr>
          <w:p w14:paraId="31C5F9B5" w14:textId="67061254" w:rsidR="004F11C1" w:rsidRPr="004F11C1" w:rsidRDefault="004F11C1" w:rsidP="00B84FC8">
            <w:pPr>
              <w:widowControl w:val="0"/>
              <w:spacing w:before="60" w:after="60" w:line="240" w:lineRule="auto"/>
              <w:jc w:val="center"/>
            </w:pPr>
            <w:r w:rsidRPr="004F11C1">
              <w:rPr>
                <w:lang w:val="en-US"/>
              </w:rPr>
              <w:t>Summary results of RA-</w:t>
            </w:r>
            <w:proofErr w:type="spellStart"/>
            <w:r w:rsidRPr="004F11C1">
              <w:rPr>
                <w:lang w:val="en-US"/>
              </w:rPr>
              <w:t>persAF</w:t>
            </w:r>
            <w:proofErr w:type="spellEnd"/>
            <w:r w:rsidRPr="004F11C1">
              <w:rPr>
                <w:lang w:val="en-US"/>
              </w:rPr>
              <w:t xml:space="preserve"> overlap with control and failing ventricle</w:t>
            </w:r>
          </w:p>
        </w:tc>
      </w:tr>
      <w:tr w:rsidR="004F11C1" w:rsidRPr="004F11C1" w14:paraId="52BD151A" w14:textId="77777777" w:rsidTr="00B84FC8">
        <w:trPr>
          <w:trHeight w:val="828"/>
        </w:trPr>
        <w:tc>
          <w:tcPr>
            <w:tcW w:w="2551" w:type="dxa"/>
            <w:vAlign w:val="center"/>
          </w:tcPr>
          <w:p w14:paraId="6860D75E" w14:textId="77777777" w:rsidR="004F11C1" w:rsidRPr="00B91D42" w:rsidRDefault="004F11C1" w:rsidP="004F11C1">
            <w:pPr>
              <w:widowControl w:val="0"/>
              <w:spacing w:before="60" w:after="60" w:line="240" w:lineRule="auto"/>
              <w:jc w:val="center"/>
              <w:rPr>
                <w:rFonts w:eastAsia="Times New Roman" w:cs="Calibri"/>
                <w:color w:val="000000" w:themeColor="text1"/>
                <w:szCs w:val="24"/>
                <w:lang w:val="en-US" w:eastAsia="de-DE"/>
              </w:rPr>
            </w:pPr>
            <w:r w:rsidRPr="00B91D42">
              <w:rPr>
                <w:color w:val="000000" w:themeColor="text1"/>
                <w:lang w:val="en-US"/>
              </w:rPr>
              <w:t>Supplementary Data 8</w:t>
            </w:r>
          </w:p>
        </w:tc>
        <w:tc>
          <w:tcPr>
            <w:tcW w:w="6463" w:type="dxa"/>
            <w:vAlign w:val="center"/>
          </w:tcPr>
          <w:p w14:paraId="66332270" w14:textId="6EEFA3C1" w:rsidR="004F11C1" w:rsidRPr="004F11C1" w:rsidRDefault="004F11C1" w:rsidP="004F11C1">
            <w:pPr>
              <w:widowControl w:val="0"/>
              <w:spacing w:before="60" w:after="60" w:line="240" w:lineRule="auto"/>
              <w:jc w:val="center"/>
            </w:pPr>
            <w:r w:rsidRPr="004F11C1">
              <w:rPr>
                <w:lang w:val="en-US"/>
              </w:rPr>
              <w:t>Log</w:t>
            </w:r>
            <w:r w:rsidRPr="004F11C1">
              <w:rPr>
                <w:vertAlign w:val="subscript"/>
                <w:lang w:val="en-US"/>
              </w:rPr>
              <w:t>2</w:t>
            </w:r>
            <w:r w:rsidRPr="004F11C1">
              <w:rPr>
                <w:lang w:val="en-US"/>
              </w:rPr>
              <w:t xml:space="preserve"> FC and adj. </w:t>
            </w:r>
            <w:r w:rsidRPr="004F11C1">
              <w:rPr>
                <w:i/>
                <w:lang w:val="en-US"/>
              </w:rPr>
              <w:t>p</w:t>
            </w:r>
            <w:r w:rsidRPr="004F11C1">
              <w:rPr>
                <w:lang w:val="en-US"/>
              </w:rPr>
              <w:t xml:space="preserve"> values from the GEE model for RA vs. LA in SR and </w:t>
            </w:r>
            <w:proofErr w:type="spellStart"/>
            <w:r w:rsidRPr="004F11C1">
              <w:rPr>
                <w:lang w:val="en-US"/>
              </w:rPr>
              <w:t>persAF</w:t>
            </w:r>
            <w:proofErr w:type="spellEnd"/>
            <w:r w:rsidRPr="004F11C1">
              <w:rPr>
                <w:lang w:val="en-US"/>
              </w:rPr>
              <w:t>, including volcano plot, PCA, and GO:BP datasets</w:t>
            </w:r>
          </w:p>
        </w:tc>
      </w:tr>
      <w:tr w:rsidR="004F11C1" w:rsidRPr="004F11C1" w14:paraId="4A3364BE" w14:textId="77777777" w:rsidTr="00B84FC8">
        <w:trPr>
          <w:trHeight w:val="828"/>
        </w:trPr>
        <w:tc>
          <w:tcPr>
            <w:tcW w:w="2551" w:type="dxa"/>
            <w:tcBorders>
              <w:bottom w:val="single" w:sz="4" w:space="0" w:color="auto"/>
            </w:tcBorders>
            <w:vAlign w:val="center"/>
          </w:tcPr>
          <w:p w14:paraId="3ADF6E4C" w14:textId="77777777" w:rsidR="004F11C1" w:rsidRPr="00010A26" w:rsidRDefault="004F11C1" w:rsidP="004F11C1">
            <w:pPr>
              <w:widowControl w:val="0"/>
              <w:spacing w:before="60" w:after="60" w:line="240" w:lineRule="auto"/>
              <w:jc w:val="center"/>
              <w:rPr>
                <w:color w:val="000000" w:themeColor="text1"/>
                <w:highlight w:val="green"/>
                <w:lang w:val="en-US"/>
              </w:rPr>
            </w:pPr>
            <w:r w:rsidRPr="004F11C1">
              <w:rPr>
                <w:color w:val="000000" w:themeColor="text1"/>
                <w:lang w:val="en-US"/>
              </w:rPr>
              <w:t>Supplementary Data 9</w:t>
            </w:r>
          </w:p>
        </w:tc>
        <w:tc>
          <w:tcPr>
            <w:tcW w:w="6463" w:type="dxa"/>
            <w:tcBorders>
              <w:bottom w:val="single" w:sz="4" w:space="0" w:color="auto"/>
            </w:tcBorders>
            <w:vAlign w:val="center"/>
          </w:tcPr>
          <w:p w14:paraId="28972A02" w14:textId="48C3F943" w:rsidR="004F11C1" w:rsidRPr="004F11C1" w:rsidRDefault="004F11C1" w:rsidP="004F11C1">
            <w:pPr>
              <w:widowControl w:val="0"/>
              <w:spacing w:before="60" w:after="60" w:line="240" w:lineRule="auto"/>
              <w:jc w:val="center"/>
              <w:rPr>
                <w:lang w:val="en-US"/>
              </w:rPr>
            </w:pPr>
            <w:r w:rsidRPr="004F11C1">
              <w:rPr>
                <w:lang w:val="en-US"/>
              </w:rPr>
              <w:t>Summary results of LA-</w:t>
            </w:r>
            <w:proofErr w:type="spellStart"/>
            <w:r w:rsidRPr="004F11C1">
              <w:rPr>
                <w:lang w:val="en-US"/>
              </w:rPr>
              <w:t>persAF</w:t>
            </w:r>
            <w:proofErr w:type="spellEnd"/>
            <w:r w:rsidRPr="004F11C1">
              <w:rPr>
                <w:lang w:val="en-US"/>
              </w:rPr>
              <w:t>-specific BP assessment in RA-</w:t>
            </w:r>
            <w:proofErr w:type="spellStart"/>
            <w:r w:rsidRPr="004F11C1">
              <w:rPr>
                <w:lang w:val="en-US"/>
              </w:rPr>
              <w:t>persAF</w:t>
            </w:r>
            <w:proofErr w:type="spellEnd"/>
          </w:p>
        </w:tc>
      </w:tr>
    </w:tbl>
    <w:p w14:paraId="5405A3D4" w14:textId="1D8659AF" w:rsidR="004F11C1" w:rsidRDefault="004F11C1">
      <w:pPr>
        <w:spacing w:line="259" w:lineRule="auto"/>
        <w:rPr>
          <w:b/>
          <w:bCs/>
          <w:color w:val="000000" w:themeColor="text1"/>
          <w:sz w:val="24"/>
          <w:szCs w:val="24"/>
          <w:lang w:val="en-US"/>
        </w:rPr>
      </w:pPr>
      <w:r>
        <w:rPr>
          <w:b/>
          <w:bCs/>
          <w:color w:val="000000" w:themeColor="text1"/>
          <w:sz w:val="24"/>
          <w:szCs w:val="24"/>
          <w:lang w:val="en-US"/>
        </w:rPr>
        <w:br w:type="page"/>
      </w:r>
    </w:p>
    <w:p w14:paraId="24173EB7" w14:textId="39ADB788" w:rsidR="006264FB" w:rsidRPr="00273772" w:rsidRDefault="006264FB" w:rsidP="006264FB">
      <w:pPr>
        <w:spacing w:after="0"/>
        <w:rPr>
          <w:b/>
          <w:bCs/>
          <w:color w:val="000000" w:themeColor="text1"/>
          <w:sz w:val="24"/>
          <w:szCs w:val="24"/>
          <w:lang w:val="en-US"/>
        </w:rPr>
      </w:pPr>
      <w:r>
        <w:rPr>
          <w:b/>
          <w:bCs/>
          <w:color w:val="000000" w:themeColor="text1"/>
          <w:sz w:val="24"/>
          <w:szCs w:val="24"/>
          <w:lang w:val="en-US"/>
        </w:rPr>
        <w:lastRenderedPageBreak/>
        <w:t>Table S2</w:t>
      </w:r>
      <w:r w:rsidRPr="00273772">
        <w:rPr>
          <w:b/>
          <w:bCs/>
          <w:color w:val="000000" w:themeColor="text1"/>
          <w:sz w:val="24"/>
          <w:szCs w:val="24"/>
          <w:lang w:val="en-US"/>
        </w:rPr>
        <w:t>. Characteristics of patients</w:t>
      </w:r>
    </w:p>
    <w:tbl>
      <w:tblPr>
        <w:tblW w:w="9214" w:type="dxa"/>
        <w:tblBorders>
          <w:top w:val="single" w:sz="12" w:space="0" w:color="008000"/>
          <w:bottom w:val="single" w:sz="12" w:space="0" w:color="008000"/>
        </w:tblBorders>
        <w:tblLook w:val="00A0" w:firstRow="1" w:lastRow="0" w:firstColumn="1" w:lastColumn="0" w:noHBand="0" w:noVBand="0"/>
      </w:tblPr>
      <w:tblGrid>
        <w:gridCol w:w="709"/>
        <w:gridCol w:w="2126"/>
        <w:gridCol w:w="2126"/>
        <w:gridCol w:w="2126"/>
        <w:gridCol w:w="2127"/>
      </w:tblGrid>
      <w:tr w:rsidR="006264FB" w:rsidRPr="009241AE" w14:paraId="63D33B84" w14:textId="77777777" w:rsidTr="008F326A">
        <w:tc>
          <w:tcPr>
            <w:tcW w:w="709" w:type="dxa"/>
            <w:tcBorders>
              <w:top w:val="single" w:sz="12" w:space="0" w:color="000000"/>
              <w:bottom w:val="single" w:sz="4" w:space="0" w:color="auto"/>
            </w:tcBorders>
          </w:tcPr>
          <w:p w14:paraId="2ACDB638" w14:textId="77777777" w:rsidR="006264FB" w:rsidRPr="009241AE" w:rsidRDefault="006264FB" w:rsidP="008F326A">
            <w:pPr>
              <w:widowControl w:val="0"/>
              <w:spacing w:before="60" w:after="60" w:line="240" w:lineRule="auto"/>
              <w:rPr>
                <w:rFonts w:eastAsia="Times New Roman" w:cs="Calibri"/>
                <w:szCs w:val="24"/>
                <w:lang w:val="en-US" w:eastAsia="de-DE"/>
              </w:rPr>
            </w:pPr>
          </w:p>
        </w:tc>
        <w:tc>
          <w:tcPr>
            <w:tcW w:w="2126" w:type="dxa"/>
            <w:tcBorders>
              <w:top w:val="single" w:sz="12" w:space="0" w:color="000000"/>
              <w:bottom w:val="single" w:sz="4" w:space="0" w:color="auto"/>
            </w:tcBorders>
          </w:tcPr>
          <w:p w14:paraId="30D43D9D" w14:textId="77777777" w:rsidR="006264FB" w:rsidRPr="009241AE" w:rsidRDefault="006264FB" w:rsidP="008F326A">
            <w:pPr>
              <w:widowControl w:val="0"/>
              <w:spacing w:before="60" w:after="60" w:line="240" w:lineRule="auto"/>
              <w:jc w:val="center"/>
              <w:rPr>
                <w:rFonts w:eastAsia="Times New Roman" w:cs="Calibri"/>
                <w:b/>
                <w:szCs w:val="24"/>
                <w:lang w:val="en-US" w:eastAsia="de-DE"/>
              </w:rPr>
            </w:pPr>
            <w:r>
              <w:rPr>
                <w:rFonts w:eastAsia="Times New Roman" w:cs="Calibri"/>
                <w:b/>
                <w:szCs w:val="24"/>
                <w:lang w:val="en-US" w:eastAsia="de-DE"/>
              </w:rPr>
              <w:t>Sex</w:t>
            </w:r>
          </w:p>
        </w:tc>
        <w:tc>
          <w:tcPr>
            <w:tcW w:w="2126" w:type="dxa"/>
            <w:tcBorders>
              <w:top w:val="single" w:sz="12" w:space="0" w:color="000000"/>
              <w:bottom w:val="single" w:sz="4" w:space="0" w:color="auto"/>
            </w:tcBorders>
          </w:tcPr>
          <w:p w14:paraId="594C7D83" w14:textId="77777777" w:rsidR="006264FB" w:rsidRPr="009241AE" w:rsidRDefault="006264FB" w:rsidP="008F326A">
            <w:pPr>
              <w:widowControl w:val="0"/>
              <w:spacing w:before="60" w:after="60" w:line="240" w:lineRule="auto"/>
              <w:jc w:val="center"/>
              <w:rPr>
                <w:rFonts w:eastAsia="Times New Roman" w:cs="Calibri"/>
                <w:b/>
                <w:szCs w:val="24"/>
                <w:lang w:val="en-US" w:eastAsia="de-DE"/>
              </w:rPr>
            </w:pPr>
            <w:r>
              <w:rPr>
                <w:rFonts w:eastAsia="Times New Roman" w:cs="Calibri"/>
                <w:b/>
                <w:szCs w:val="24"/>
                <w:lang w:val="en-US" w:eastAsia="de-DE"/>
              </w:rPr>
              <w:t>Age, y</w:t>
            </w:r>
          </w:p>
        </w:tc>
        <w:tc>
          <w:tcPr>
            <w:tcW w:w="2126" w:type="dxa"/>
            <w:tcBorders>
              <w:top w:val="single" w:sz="12" w:space="0" w:color="000000"/>
              <w:bottom w:val="single" w:sz="4" w:space="0" w:color="auto"/>
            </w:tcBorders>
          </w:tcPr>
          <w:p w14:paraId="6677DD62" w14:textId="77777777" w:rsidR="006264FB" w:rsidRPr="009241AE" w:rsidRDefault="006264FB" w:rsidP="008F326A">
            <w:pPr>
              <w:widowControl w:val="0"/>
              <w:spacing w:before="60" w:after="60" w:line="240" w:lineRule="auto"/>
              <w:jc w:val="center"/>
              <w:rPr>
                <w:rFonts w:eastAsia="Times New Roman" w:cs="Calibri"/>
                <w:b/>
                <w:szCs w:val="24"/>
                <w:lang w:val="en-US" w:eastAsia="de-DE"/>
              </w:rPr>
            </w:pPr>
            <w:r>
              <w:rPr>
                <w:rFonts w:eastAsia="Times New Roman" w:cs="Calibri"/>
                <w:b/>
                <w:szCs w:val="24"/>
                <w:lang w:val="en-US" w:eastAsia="de-DE"/>
              </w:rPr>
              <w:t>BMI, kg/m</w:t>
            </w:r>
            <w:r w:rsidRPr="00203EE4">
              <w:rPr>
                <w:rFonts w:eastAsia="Times New Roman" w:cs="Calibri"/>
                <w:b/>
                <w:szCs w:val="24"/>
                <w:vertAlign w:val="superscript"/>
                <w:lang w:val="en-US" w:eastAsia="de-DE"/>
              </w:rPr>
              <w:t>2</w:t>
            </w:r>
          </w:p>
        </w:tc>
        <w:tc>
          <w:tcPr>
            <w:tcW w:w="2127" w:type="dxa"/>
            <w:tcBorders>
              <w:top w:val="single" w:sz="12" w:space="0" w:color="000000"/>
              <w:bottom w:val="single" w:sz="4" w:space="0" w:color="auto"/>
            </w:tcBorders>
          </w:tcPr>
          <w:p w14:paraId="1F74EDCB" w14:textId="77777777" w:rsidR="006264FB" w:rsidRPr="009241AE" w:rsidRDefault="006264FB" w:rsidP="008F326A">
            <w:pPr>
              <w:widowControl w:val="0"/>
              <w:spacing w:before="60" w:after="60" w:line="240" w:lineRule="auto"/>
              <w:jc w:val="center"/>
              <w:rPr>
                <w:rFonts w:eastAsia="Times New Roman" w:cs="Calibri"/>
                <w:b/>
                <w:szCs w:val="24"/>
                <w:lang w:val="en-US" w:eastAsia="de-DE"/>
              </w:rPr>
            </w:pPr>
            <w:r>
              <w:rPr>
                <w:rFonts w:eastAsia="Times New Roman" w:cs="Calibri"/>
                <w:b/>
                <w:szCs w:val="24"/>
                <w:lang w:val="en-US" w:eastAsia="de-DE"/>
              </w:rPr>
              <w:t>Cause of death</w:t>
            </w:r>
          </w:p>
        </w:tc>
      </w:tr>
      <w:tr w:rsidR="006264FB" w:rsidRPr="009241AE" w14:paraId="524FDC9B" w14:textId="77777777" w:rsidTr="008F326A">
        <w:tc>
          <w:tcPr>
            <w:tcW w:w="709" w:type="dxa"/>
            <w:tcBorders>
              <w:top w:val="single" w:sz="4" w:space="0" w:color="auto"/>
              <w:bottom w:val="nil"/>
            </w:tcBorders>
          </w:tcPr>
          <w:p w14:paraId="399F2EB0" w14:textId="77777777" w:rsidR="006264FB" w:rsidRPr="009241AE" w:rsidRDefault="006264FB" w:rsidP="008F326A">
            <w:pPr>
              <w:widowControl w:val="0"/>
              <w:spacing w:before="60" w:after="60" w:line="240" w:lineRule="auto"/>
              <w:rPr>
                <w:rFonts w:eastAsia="Times New Roman" w:cs="Calibri"/>
                <w:szCs w:val="24"/>
                <w:lang w:val="en-US" w:eastAsia="de-DE"/>
              </w:rPr>
            </w:pPr>
            <w:r>
              <w:rPr>
                <w:rFonts w:eastAsia="Times New Roman" w:cs="Calibri"/>
                <w:szCs w:val="24"/>
                <w:lang w:val="en-US" w:eastAsia="de-DE"/>
              </w:rPr>
              <w:t>D1</w:t>
            </w:r>
          </w:p>
        </w:tc>
        <w:tc>
          <w:tcPr>
            <w:tcW w:w="2126" w:type="dxa"/>
            <w:tcBorders>
              <w:top w:val="single" w:sz="4" w:space="0" w:color="auto"/>
              <w:bottom w:val="nil"/>
              <w:right w:val="nil"/>
            </w:tcBorders>
          </w:tcPr>
          <w:p w14:paraId="2ACEF9D2" w14:textId="77777777" w:rsidR="006264FB" w:rsidRPr="009241AE" w:rsidRDefault="006264FB" w:rsidP="008F326A">
            <w:pPr>
              <w:widowControl w:val="0"/>
              <w:spacing w:before="60" w:after="60" w:line="240" w:lineRule="auto"/>
              <w:jc w:val="center"/>
              <w:rPr>
                <w:rFonts w:eastAsia="Times New Roman" w:cs="Calibri"/>
                <w:szCs w:val="24"/>
                <w:lang w:val="en-US" w:eastAsia="de-DE"/>
              </w:rPr>
            </w:pPr>
            <w:r>
              <w:rPr>
                <w:rFonts w:cs="Calibri"/>
                <w:szCs w:val="24"/>
                <w:lang w:val="en-US"/>
              </w:rPr>
              <w:t>Male</w:t>
            </w:r>
          </w:p>
        </w:tc>
        <w:tc>
          <w:tcPr>
            <w:tcW w:w="2126" w:type="dxa"/>
            <w:tcBorders>
              <w:top w:val="single" w:sz="4" w:space="0" w:color="auto"/>
              <w:left w:val="nil"/>
              <w:bottom w:val="nil"/>
              <w:right w:val="nil"/>
            </w:tcBorders>
            <w:vAlign w:val="center"/>
          </w:tcPr>
          <w:p w14:paraId="6152A5A2" w14:textId="77777777" w:rsidR="006264FB" w:rsidRPr="009241AE" w:rsidRDefault="006264FB" w:rsidP="008F326A">
            <w:pPr>
              <w:widowControl w:val="0"/>
              <w:spacing w:before="60" w:after="60" w:line="240" w:lineRule="auto"/>
              <w:jc w:val="center"/>
              <w:rPr>
                <w:rFonts w:cs="Calibri"/>
                <w:szCs w:val="24"/>
                <w:lang w:val="en-US"/>
              </w:rPr>
            </w:pPr>
            <w:r>
              <w:rPr>
                <w:rFonts w:ascii="Arial" w:hAnsi="Arial" w:cs="Arial"/>
                <w:color w:val="000000"/>
              </w:rPr>
              <w:t>54</w:t>
            </w:r>
          </w:p>
        </w:tc>
        <w:tc>
          <w:tcPr>
            <w:tcW w:w="2126" w:type="dxa"/>
            <w:tcBorders>
              <w:top w:val="single" w:sz="4" w:space="0" w:color="auto"/>
              <w:left w:val="nil"/>
              <w:bottom w:val="nil"/>
              <w:right w:val="nil"/>
            </w:tcBorders>
            <w:vAlign w:val="center"/>
          </w:tcPr>
          <w:p w14:paraId="3AA92878" w14:textId="77777777" w:rsidR="006264FB" w:rsidRPr="009241AE" w:rsidRDefault="006264FB" w:rsidP="008F326A">
            <w:pPr>
              <w:widowControl w:val="0"/>
              <w:spacing w:before="60" w:after="60" w:line="240" w:lineRule="auto"/>
              <w:jc w:val="center"/>
              <w:rPr>
                <w:rFonts w:cs="Calibri"/>
                <w:szCs w:val="24"/>
                <w:lang w:val="en-US"/>
              </w:rPr>
            </w:pPr>
            <w:r>
              <w:rPr>
                <w:rFonts w:ascii="Arial" w:hAnsi="Arial" w:cs="Arial"/>
                <w:color w:val="000000"/>
              </w:rPr>
              <w:t>28.5</w:t>
            </w:r>
          </w:p>
        </w:tc>
        <w:tc>
          <w:tcPr>
            <w:tcW w:w="2127" w:type="dxa"/>
            <w:tcBorders>
              <w:top w:val="single" w:sz="4" w:space="0" w:color="auto"/>
              <w:left w:val="nil"/>
              <w:bottom w:val="nil"/>
              <w:right w:val="nil"/>
            </w:tcBorders>
            <w:vAlign w:val="center"/>
          </w:tcPr>
          <w:p w14:paraId="06825DA9" w14:textId="77777777" w:rsidR="006264FB" w:rsidRPr="009241AE" w:rsidRDefault="006264FB" w:rsidP="008F326A">
            <w:pPr>
              <w:widowControl w:val="0"/>
              <w:spacing w:before="60" w:after="60" w:line="240" w:lineRule="auto"/>
              <w:jc w:val="center"/>
              <w:rPr>
                <w:rFonts w:eastAsia="Times New Roman" w:cs="Calibri"/>
                <w:szCs w:val="24"/>
                <w:lang w:val="en-US" w:eastAsia="de-DE"/>
              </w:rPr>
            </w:pPr>
            <w:r>
              <w:rPr>
                <w:rFonts w:ascii="Arial" w:hAnsi="Arial" w:cs="Arial"/>
                <w:color w:val="000000"/>
              </w:rPr>
              <w:t>Anoxia</w:t>
            </w:r>
          </w:p>
        </w:tc>
      </w:tr>
      <w:tr w:rsidR="006264FB" w:rsidRPr="009241AE" w14:paraId="7D261F47" w14:textId="77777777" w:rsidTr="008F326A">
        <w:tc>
          <w:tcPr>
            <w:tcW w:w="709" w:type="dxa"/>
            <w:tcBorders>
              <w:top w:val="nil"/>
              <w:bottom w:val="nil"/>
            </w:tcBorders>
          </w:tcPr>
          <w:p w14:paraId="5CCF19B2" w14:textId="77777777" w:rsidR="006264FB" w:rsidRPr="009241AE" w:rsidRDefault="006264FB" w:rsidP="008F326A">
            <w:pPr>
              <w:widowControl w:val="0"/>
              <w:spacing w:before="60" w:after="60" w:line="240" w:lineRule="auto"/>
              <w:rPr>
                <w:rFonts w:eastAsia="Times New Roman" w:cs="Calibri"/>
                <w:szCs w:val="24"/>
                <w:lang w:val="en-US" w:eastAsia="de-DE"/>
              </w:rPr>
            </w:pPr>
            <w:r>
              <w:rPr>
                <w:rFonts w:eastAsia="Times New Roman" w:cs="Calibri"/>
                <w:szCs w:val="24"/>
                <w:lang w:val="en-US" w:eastAsia="de-DE"/>
              </w:rPr>
              <w:t>D3</w:t>
            </w:r>
          </w:p>
        </w:tc>
        <w:tc>
          <w:tcPr>
            <w:tcW w:w="2126" w:type="dxa"/>
            <w:tcBorders>
              <w:top w:val="nil"/>
              <w:bottom w:val="nil"/>
              <w:right w:val="nil"/>
            </w:tcBorders>
          </w:tcPr>
          <w:p w14:paraId="1019B761" w14:textId="77777777" w:rsidR="006264FB" w:rsidRPr="009241AE" w:rsidRDefault="006264FB"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Female</w:t>
            </w:r>
          </w:p>
        </w:tc>
        <w:tc>
          <w:tcPr>
            <w:tcW w:w="2126" w:type="dxa"/>
            <w:tcBorders>
              <w:top w:val="nil"/>
              <w:left w:val="nil"/>
              <w:bottom w:val="nil"/>
              <w:right w:val="nil"/>
            </w:tcBorders>
            <w:vAlign w:val="center"/>
          </w:tcPr>
          <w:p w14:paraId="459CC56D" w14:textId="77777777" w:rsidR="006264FB" w:rsidRDefault="006264FB" w:rsidP="008F326A">
            <w:pPr>
              <w:widowControl w:val="0"/>
              <w:spacing w:before="60" w:after="60" w:line="240" w:lineRule="auto"/>
              <w:jc w:val="center"/>
              <w:rPr>
                <w:rFonts w:cs="Calibri"/>
                <w:szCs w:val="24"/>
                <w:lang w:val="en-US"/>
              </w:rPr>
            </w:pPr>
            <w:r>
              <w:rPr>
                <w:rFonts w:ascii="Arial" w:hAnsi="Arial" w:cs="Arial"/>
                <w:color w:val="000000"/>
              </w:rPr>
              <w:t>73</w:t>
            </w:r>
          </w:p>
        </w:tc>
        <w:tc>
          <w:tcPr>
            <w:tcW w:w="2126" w:type="dxa"/>
            <w:tcBorders>
              <w:top w:val="nil"/>
              <w:left w:val="nil"/>
              <w:bottom w:val="nil"/>
              <w:right w:val="nil"/>
            </w:tcBorders>
            <w:vAlign w:val="center"/>
          </w:tcPr>
          <w:p w14:paraId="2A4EC17D" w14:textId="77777777" w:rsidR="006264FB" w:rsidRDefault="006264FB" w:rsidP="008F326A">
            <w:pPr>
              <w:widowControl w:val="0"/>
              <w:spacing w:before="60" w:after="60" w:line="240" w:lineRule="auto"/>
              <w:jc w:val="center"/>
              <w:rPr>
                <w:rFonts w:cs="Calibri"/>
                <w:szCs w:val="24"/>
                <w:lang w:val="en-US"/>
              </w:rPr>
            </w:pPr>
            <w:r>
              <w:rPr>
                <w:rFonts w:ascii="Arial" w:hAnsi="Arial" w:cs="Arial"/>
                <w:color w:val="000000"/>
              </w:rPr>
              <w:t>21.9</w:t>
            </w:r>
          </w:p>
        </w:tc>
        <w:tc>
          <w:tcPr>
            <w:tcW w:w="2127" w:type="dxa"/>
            <w:tcBorders>
              <w:top w:val="nil"/>
              <w:left w:val="nil"/>
              <w:bottom w:val="nil"/>
              <w:right w:val="nil"/>
            </w:tcBorders>
            <w:vAlign w:val="center"/>
          </w:tcPr>
          <w:p w14:paraId="2A61988D" w14:textId="77777777" w:rsidR="006264FB" w:rsidRPr="009241AE" w:rsidRDefault="006264FB" w:rsidP="008F326A">
            <w:pPr>
              <w:widowControl w:val="0"/>
              <w:spacing w:before="60" w:after="60" w:line="240" w:lineRule="auto"/>
              <w:jc w:val="center"/>
              <w:rPr>
                <w:rFonts w:eastAsia="Times New Roman" w:cs="Calibri"/>
                <w:szCs w:val="24"/>
                <w:lang w:val="en-US" w:eastAsia="de-DE"/>
              </w:rPr>
            </w:pPr>
            <w:r>
              <w:rPr>
                <w:rFonts w:ascii="Arial" w:hAnsi="Arial" w:cs="Arial"/>
                <w:color w:val="000000"/>
              </w:rPr>
              <w:t>Stroke</w:t>
            </w:r>
          </w:p>
        </w:tc>
      </w:tr>
      <w:tr w:rsidR="006264FB" w:rsidRPr="009241AE" w14:paraId="31C35E8D" w14:textId="77777777" w:rsidTr="008F326A">
        <w:tc>
          <w:tcPr>
            <w:tcW w:w="709" w:type="dxa"/>
            <w:tcBorders>
              <w:top w:val="nil"/>
              <w:bottom w:val="nil"/>
            </w:tcBorders>
          </w:tcPr>
          <w:p w14:paraId="3A8AE0A1" w14:textId="77777777" w:rsidR="006264FB" w:rsidRPr="009241AE" w:rsidRDefault="006264FB" w:rsidP="008F326A">
            <w:pPr>
              <w:widowControl w:val="0"/>
              <w:spacing w:before="60" w:after="60" w:line="240" w:lineRule="auto"/>
              <w:rPr>
                <w:rFonts w:eastAsia="Times New Roman" w:cs="Calibri"/>
                <w:szCs w:val="24"/>
                <w:lang w:val="en-US" w:eastAsia="de-DE"/>
              </w:rPr>
            </w:pPr>
            <w:r>
              <w:rPr>
                <w:rFonts w:eastAsia="Times New Roman" w:cs="Calibri"/>
                <w:szCs w:val="24"/>
                <w:lang w:val="en-US" w:eastAsia="de-DE"/>
              </w:rPr>
              <w:t>D4</w:t>
            </w:r>
          </w:p>
        </w:tc>
        <w:tc>
          <w:tcPr>
            <w:tcW w:w="2126" w:type="dxa"/>
            <w:tcBorders>
              <w:top w:val="nil"/>
              <w:bottom w:val="nil"/>
              <w:right w:val="nil"/>
            </w:tcBorders>
          </w:tcPr>
          <w:p w14:paraId="7CD84173" w14:textId="77777777" w:rsidR="006264FB" w:rsidRPr="009241AE" w:rsidRDefault="006264FB"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Female</w:t>
            </w:r>
          </w:p>
        </w:tc>
        <w:tc>
          <w:tcPr>
            <w:tcW w:w="2126" w:type="dxa"/>
            <w:tcBorders>
              <w:top w:val="nil"/>
              <w:left w:val="nil"/>
              <w:bottom w:val="nil"/>
              <w:right w:val="nil"/>
            </w:tcBorders>
            <w:vAlign w:val="center"/>
          </w:tcPr>
          <w:p w14:paraId="0F53C521" w14:textId="77777777" w:rsidR="006264FB" w:rsidRPr="009241AE" w:rsidRDefault="006264FB" w:rsidP="008F326A">
            <w:pPr>
              <w:widowControl w:val="0"/>
              <w:spacing w:before="60" w:after="60" w:line="240" w:lineRule="auto"/>
              <w:jc w:val="center"/>
              <w:rPr>
                <w:rFonts w:cs="Calibri"/>
                <w:szCs w:val="24"/>
                <w:lang w:val="en-US"/>
              </w:rPr>
            </w:pPr>
            <w:r>
              <w:rPr>
                <w:rFonts w:ascii="Arial" w:hAnsi="Arial" w:cs="Arial"/>
                <w:color w:val="000000"/>
              </w:rPr>
              <w:t>37</w:t>
            </w:r>
          </w:p>
        </w:tc>
        <w:tc>
          <w:tcPr>
            <w:tcW w:w="2126" w:type="dxa"/>
            <w:tcBorders>
              <w:top w:val="nil"/>
              <w:left w:val="nil"/>
              <w:bottom w:val="nil"/>
              <w:right w:val="nil"/>
            </w:tcBorders>
            <w:vAlign w:val="center"/>
          </w:tcPr>
          <w:p w14:paraId="1BBE2947" w14:textId="77777777" w:rsidR="006264FB" w:rsidRPr="009241AE" w:rsidRDefault="006264FB" w:rsidP="008F326A">
            <w:pPr>
              <w:widowControl w:val="0"/>
              <w:spacing w:before="60" w:after="60" w:line="240" w:lineRule="auto"/>
              <w:jc w:val="center"/>
              <w:rPr>
                <w:rFonts w:cs="Calibri"/>
                <w:szCs w:val="24"/>
                <w:lang w:val="en-US"/>
              </w:rPr>
            </w:pPr>
            <w:r>
              <w:rPr>
                <w:rFonts w:ascii="Arial" w:hAnsi="Arial" w:cs="Arial"/>
                <w:color w:val="000000"/>
              </w:rPr>
              <w:t>19.0</w:t>
            </w:r>
          </w:p>
        </w:tc>
        <w:tc>
          <w:tcPr>
            <w:tcW w:w="2127" w:type="dxa"/>
            <w:tcBorders>
              <w:top w:val="nil"/>
              <w:left w:val="nil"/>
              <w:bottom w:val="nil"/>
              <w:right w:val="nil"/>
            </w:tcBorders>
            <w:vAlign w:val="center"/>
          </w:tcPr>
          <w:p w14:paraId="69425BA9" w14:textId="77777777" w:rsidR="006264FB" w:rsidRPr="009241AE" w:rsidRDefault="006264FB" w:rsidP="008F326A">
            <w:pPr>
              <w:widowControl w:val="0"/>
              <w:spacing w:before="60" w:after="60" w:line="240" w:lineRule="auto"/>
              <w:jc w:val="center"/>
              <w:rPr>
                <w:rFonts w:eastAsia="Times New Roman" w:cs="Calibri"/>
                <w:szCs w:val="24"/>
                <w:lang w:val="en-US" w:eastAsia="de-DE"/>
              </w:rPr>
            </w:pPr>
            <w:r>
              <w:rPr>
                <w:rFonts w:ascii="Arial" w:hAnsi="Arial" w:cs="Arial"/>
                <w:color w:val="000000"/>
              </w:rPr>
              <w:t>Anoxia</w:t>
            </w:r>
          </w:p>
        </w:tc>
      </w:tr>
      <w:tr w:rsidR="006264FB" w:rsidRPr="009241AE" w14:paraId="53AD44C7" w14:textId="77777777" w:rsidTr="008F326A">
        <w:tc>
          <w:tcPr>
            <w:tcW w:w="709" w:type="dxa"/>
            <w:tcBorders>
              <w:top w:val="nil"/>
              <w:bottom w:val="nil"/>
            </w:tcBorders>
          </w:tcPr>
          <w:p w14:paraId="2F0F203D" w14:textId="77777777" w:rsidR="006264FB" w:rsidRPr="009241AE" w:rsidRDefault="006264FB" w:rsidP="008F326A">
            <w:pPr>
              <w:widowControl w:val="0"/>
              <w:spacing w:before="60" w:after="60" w:line="240" w:lineRule="auto"/>
              <w:rPr>
                <w:rFonts w:eastAsia="Times New Roman" w:cs="Calibri"/>
                <w:szCs w:val="24"/>
                <w:lang w:val="en-US" w:eastAsia="de-DE"/>
              </w:rPr>
            </w:pPr>
            <w:r>
              <w:rPr>
                <w:rFonts w:eastAsia="Times New Roman" w:cs="Calibri"/>
                <w:szCs w:val="24"/>
                <w:lang w:val="en-US" w:eastAsia="de-DE"/>
              </w:rPr>
              <w:t>D5</w:t>
            </w:r>
          </w:p>
        </w:tc>
        <w:tc>
          <w:tcPr>
            <w:tcW w:w="2126" w:type="dxa"/>
            <w:tcBorders>
              <w:top w:val="nil"/>
              <w:bottom w:val="nil"/>
              <w:right w:val="nil"/>
            </w:tcBorders>
          </w:tcPr>
          <w:p w14:paraId="725495E7" w14:textId="77777777" w:rsidR="006264FB" w:rsidRPr="009241AE" w:rsidRDefault="006264FB"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Female</w:t>
            </w:r>
          </w:p>
        </w:tc>
        <w:tc>
          <w:tcPr>
            <w:tcW w:w="2126" w:type="dxa"/>
            <w:tcBorders>
              <w:top w:val="nil"/>
              <w:left w:val="nil"/>
              <w:bottom w:val="nil"/>
              <w:right w:val="nil"/>
            </w:tcBorders>
            <w:vAlign w:val="center"/>
          </w:tcPr>
          <w:p w14:paraId="3207C5A4" w14:textId="77777777" w:rsidR="006264FB" w:rsidRPr="009241AE" w:rsidRDefault="006264FB" w:rsidP="008F326A">
            <w:pPr>
              <w:widowControl w:val="0"/>
              <w:spacing w:before="60" w:after="60" w:line="240" w:lineRule="auto"/>
              <w:jc w:val="center"/>
              <w:rPr>
                <w:rFonts w:cs="Calibri"/>
                <w:szCs w:val="24"/>
                <w:lang w:val="en-US"/>
              </w:rPr>
            </w:pPr>
            <w:r>
              <w:rPr>
                <w:rFonts w:ascii="Arial" w:hAnsi="Arial" w:cs="Arial"/>
                <w:color w:val="000000"/>
              </w:rPr>
              <w:t>59</w:t>
            </w:r>
          </w:p>
        </w:tc>
        <w:tc>
          <w:tcPr>
            <w:tcW w:w="2126" w:type="dxa"/>
            <w:tcBorders>
              <w:top w:val="nil"/>
              <w:left w:val="nil"/>
              <w:bottom w:val="nil"/>
              <w:right w:val="nil"/>
            </w:tcBorders>
            <w:vAlign w:val="center"/>
          </w:tcPr>
          <w:p w14:paraId="6F35EED4" w14:textId="77777777" w:rsidR="006264FB" w:rsidRPr="009241AE" w:rsidRDefault="006264FB" w:rsidP="008F326A">
            <w:pPr>
              <w:widowControl w:val="0"/>
              <w:spacing w:before="60" w:after="60" w:line="240" w:lineRule="auto"/>
              <w:jc w:val="center"/>
              <w:rPr>
                <w:rFonts w:cs="Calibri"/>
                <w:szCs w:val="24"/>
                <w:lang w:val="en-US"/>
              </w:rPr>
            </w:pPr>
            <w:r>
              <w:rPr>
                <w:rFonts w:ascii="Arial" w:hAnsi="Arial" w:cs="Arial"/>
                <w:color w:val="000000"/>
              </w:rPr>
              <w:t>24.9</w:t>
            </w:r>
          </w:p>
        </w:tc>
        <w:tc>
          <w:tcPr>
            <w:tcW w:w="2127" w:type="dxa"/>
            <w:tcBorders>
              <w:top w:val="nil"/>
              <w:left w:val="nil"/>
              <w:bottom w:val="nil"/>
              <w:right w:val="nil"/>
            </w:tcBorders>
            <w:vAlign w:val="center"/>
          </w:tcPr>
          <w:p w14:paraId="03183B72" w14:textId="77777777" w:rsidR="006264FB" w:rsidRPr="009241AE" w:rsidRDefault="006264FB" w:rsidP="008F326A">
            <w:pPr>
              <w:widowControl w:val="0"/>
              <w:spacing w:before="60" w:after="60" w:line="240" w:lineRule="auto"/>
              <w:jc w:val="center"/>
              <w:rPr>
                <w:rFonts w:eastAsia="Times New Roman" w:cs="Calibri"/>
                <w:szCs w:val="24"/>
                <w:lang w:val="en-US" w:eastAsia="de-DE"/>
              </w:rPr>
            </w:pPr>
            <w:r>
              <w:rPr>
                <w:rFonts w:ascii="Arial" w:hAnsi="Arial" w:cs="Arial"/>
                <w:color w:val="000000"/>
              </w:rPr>
              <w:t>Stroke</w:t>
            </w:r>
          </w:p>
        </w:tc>
      </w:tr>
      <w:tr w:rsidR="006264FB" w:rsidRPr="009241AE" w14:paraId="736E1E5B" w14:textId="77777777" w:rsidTr="008F326A">
        <w:tc>
          <w:tcPr>
            <w:tcW w:w="709" w:type="dxa"/>
            <w:tcBorders>
              <w:top w:val="nil"/>
              <w:bottom w:val="nil"/>
            </w:tcBorders>
          </w:tcPr>
          <w:p w14:paraId="39346142" w14:textId="77777777" w:rsidR="006264FB" w:rsidRPr="009241AE" w:rsidRDefault="006264FB" w:rsidP="008F326A">
            <w:pPr>
              <w:widowControl w:val="0"/>
              <w:spacing w:before="60" w:after="60" w:line="240" w:lineRule="auto"/>
              <w:rPr>
                <w:rFonts w:eastAsia="Times New Roman" w:cs="Calibri"/>
                <w:szCs w:val="24"/>
                <w:lang w:val="en-US" w:eastAsia="de-DE"/>
              </w:rPr>
            </w:pPr>
            <w:r>
              <w:rPr>
                <w:rFonts w:eastAsia="Times New Roman" w:cs="Calibri"/>
                <w:szCs w:val="24"/>
                <w:lang w:val="en-US" w:eastAsia="de-DE"/>
              </w:rPr>
              <w:t>D6</w:t>
            </w:r>
          </w:p>
        </w:tc>
        <w:tc>
          <w:tcPr>
            <w:tcW w:w="2126" w:type="dxa"/>
            <w:tcBorders>
              <w:top w:val="nil"/>
              <w:bottom w:val="nil"/>
              <w:right w:val="nil"/>
            </w:tcBorders>
          </w:tcPr>
          <w:p w14:paraId="2983FF17" w14:textId="77777777" w:rsidR="006264FB" w:rsidRPr="009241AE" w:rsidRDefault="006264FB" w:rsidP="008F326A">
            <w:pPr>
              <w:widowControl w:val="0"/>
              <w:spacing w:before="60" w:after="60" w:line="240" w:lineRule="auto"/>
              <w:jc w:val="center"/>
              <w:rPr>
                <w:rFonts w:eastAsia="Times New Roman" w:cs="Calibri"/>
                <w:szCs w:val="24"/>
                <w:lang w:val="en-US" w:eastAsia="de-DE"/>
              </w:rPr>
            </w:pPr>
            <w:r>
              <w:rPr>
                <w:rFonts w:cs="Calibri"/>
                <w:szCs w:val="24"/>
                <w:lang w:val="en-US"/>
              </w:rPr>
              <w:t>Male</w:t>
            </w:r>
          </w:p>
        </w:tc>
        <w:tc>
          <w:tcPr>
            <w:tcW w:w="2126" w:type="dxa"/>
            <w:tcBorders>
              <w:top w:val="nil"/>
              <w:left w:val="nil"/>
              <w:bottom w:val="nil"/>
              <w:right w:val="nil"/>
            </w:tcBorders>
            <w:vAlign w:val="center"/>
          </w:tcPr>
          <w:p w14:paraId="47DDCE3A" w14:textId="77777777" w:rsidR="006264FB" w:rsidRPr="009241AE" w:rsidRDefault="006264FB" w:rsidP="008F326A">
            <w:pPr>
              <w:widowControl w:val="0"/>
              <w:spacing w:before="60" w:after="60" w:line="240" w:lineRule="auto"/>
              <w:jc w:val="center"/>
              <w:rPr>
                <w:rFonts w:eastAsia="Times New Roman" w:cs="Calibri"/>
                <w:szCs w:val="24"/>
                <w:lang w:val="en-US" w:eastAsia="de-DE"/>
              </w:rPr>
            </w:pPr>
            <w:r>
              <w:rPr>
                <w:rFonts w:ascii="Arial" w:hAnsi="Arial" w:cs="Arial"/>
                <w:color w:val="000000"/>
              </w:rPr>
              <w:t>47</w:t>
            </w:r>
          </w:p>
        </w:tc>
        <w:tc>
          <w:tcPr>
            <w:tcW w:w="2126" w:type="dxa"/>
            <w:tcBorders>
              <w:top w:val="nil"/>
              <w:left w:val="nil"/>
              <w:bottom w:val="nil"/>
              <w:right w:val="nil"/>
            </w:tcBorders>
            <w:vAlign w:val="center"/>
          </w:tcPr>
          <w:p w14:paraId="233D5BBE" w14:textId="77777777" w:rsidR="006264FB" w:rsidRPr="009241AE" w:rsidRDefault="006264FB" w:rsidP="008F326A">
            <w:pPr>
              <w:widowControl w:val="0"/>
              <w:spacing w:before="60" w:after="60" w:line="240" w:lineRule="auto"/>
              <w:jc w:val="center"/>
              <w:rPr>
                <w:rFonts w:eastAsia="Times New Roman" w:cs="Calibri"/>
                <w:szCs w:val="24"/>
                <w:lang w:val="en-US" w:eastAsia="de-DE"/>
              </w:rPr>
            </w:pPr>
            <w:r>
              <w:rPr>
                <w:rFonts w:ascii="Arial" w:hAnsi="Arial" w:cs="Arial"/>
                <w:color w:val="000000"/>
              </w:rPr>
              <w:t>25.2</w:t>
            </w:r>
          </w:p>
        </w:tc>
        <w:tc>
          <w:tcPr>
            <w:tcW w:w="2127" w:type="dxa"/>
            <w:tcBorders>
              <w:top w:val="nil"/>
              <w:left w:val="nil"/>
              <w:bottom w:val="nil"/>
              <w:right w:val="nil"/>
            </w:tcBorders>
            <w:vAlign w:val="center"/>
          </w:tcPr>
          <w:p w14:paraId="03F5453E" w14:textId="77777777" w:rsidR="006264FB" w:rsidRPr="009241AE" w:rsidRDefault="006264FB" w:rsidP="008F326A">
            <w:pPr>
              <w:widowControl w:val="0"/>
              <w:spacing w:before="60" w:after="60" w:line="240" w:lineRule="auto"/>
              <w:jc w:val="center"/>
              <w:rPr>
                <w:rFonts w:eastAsia="Times New Roman" w:cs="Calibri"/>
                <w:szCs w:val="24"/>
                <w:lang w:val="en-US" w:eastAsia="de-DE"/>
              </w:rPr>
            </w:pPr>
            <w:r>
              <w:rPr>
                <w:rFonts w:ascii="Arial" w:hAnsi="Arial" w:cs="Arial"/>
                <w:color w:val="000000"/>
              </w:rPr>
              <w:t>Head Trauma</w:t>
            </w:r>
          </w:p>
        </w:tc>
      </w:tr>
      <w:tr w:rsidR="006264FB" w:rsidRPr="009241AE" w14:paraId="3F013647" w14:textId="77777777" w:rsidTr="008F326A">
        <w:tc>
          <w:tcPr>
            <w:tcW w:w="709" w:type="dxa"/>
            <w:tcBorders>
              <w:top w:val="nil"/>
              <w:bottom w:val="nil"/>
            </w:tcBorders>
          </w:tcPr>
          <w:p w14:paraId="628F8A29" w14:textId="77777777" w:rsidR="006264FB" w:rsidRDefault="006264FB" w:rsidP="008F326A">
            <w:pPr>
              <w:widowControl w:val="0"/>
              <w:spacing w:before="60" w:after="60" w:line="240" w:lineRule="auto"/>
              <w:rPr>
                <w:rFonts w:eastAsia="Times New Roman" w:cs="Calibri"/>
                <w:szCs w:val="24"/>
                <w:lang w:val="en-US" w:eastAsia="de-DE"/>
              </w:rPr>
            </w:pPr>
            <w:r>
              <w:rPr>
                <w:rFonts w:eastAsia="Times New Roman" w:cs="Calibri"/>
                <w:szCs w:val="24"/>
                <w:lang w:val="en-US" w:eastAsia="de-DE"/>
              </w:rPr>
              <w:t>D7</w:t>
            </w:r>
          </w:p>
        </w:tc>
        <w:tc>
          <w:tcPr>
            <w:tcW w:w="2126" w:type="dxa"/>
            <w:tcBorders>
              <w:top w:val="nil"/>
              <w:bottom w:val="nil"/>
              <w:right w:val="nil"/>
            </w:tcBorders>
          </w:tcPr>
          <w:p w14:paraId="37B41F89" w14:textId="77777777" w:rsidR="006264FB" w:rsidRDefault="006264FB" w:rsidP="008F326A">
            <w:pPr>
              <w:widowControl w:val="0"/>
              <w:spacing w:before="60" w:after="60" w:line="240" w:lineRule="auto"/>
              <w:jc w:val="center"/>
              <w:rPr>
                <w:rFonts w:eastAsia="Times New Roman" w:cs="Calibri"/>
                <w:szCs w:val="24"/>
                <w:lang w:val="en-US" w:eastAsia="de-DE"/>
              </w:rPr>
            </w:pPr>
            <w:r>
              <w:rPr>
                <w:rFonts w:cs="Calibri"/>
                <w:szCs w:val="24"/>
                <w:lang w:val="en-US"/>
              </w:rPr>
              <w:t>Male</w:t>
            </w:r>
          </w:p>
        </w:tc>
        <w:tc>
          <w:tcPr>
            <w:tcW w:w="2126" w:type="dxa"/>
            <w:tcBorders>
              <w:top w:val="nil"/>
              <w:left w:val="nil"/>
              <w:bottom w:val="nil"/>
              <w:right w:val="nil"/>
            </w:tcBorders>
            <w:vAlign w:val="center"/>
          </w:tcPr>
          <w:p w14:paraId="142AA00A" w14:textId="77777777" w:rsidR="006264FB" w:rsidRPr="001353AD" w:rsidRDefault="006264FB" w:rsidP="008F326A">
            <w:pPr>
              <w:widowControl w:val="0"/>
              <w:spacing w:before="60" w:after="60" w:line="240" w:lineRule="auto"/>
              <w:jc w:val="center"/>
            </w:pPr>
            <w:r>
              <w:rPr>
                <w:rFonts w:ascii="Arial" w:hAnsi="Arial" w:cs="Arial"/>
                <w:color w:val="000000"/>
              </w:rPr>
              <w:t>45</w:t>
            </w:r>
          </w:p>
        </w:tc>
        <w:tc>
          <w:tcPr>
            <w:tcW w:w="2126" w:type="dxa"/>
            <w:tcBorders>
              <w:top w:val="nil"/>
              <w:left w:val="nil"/>
              <w:bottom w:val="nil"/>
              <w:right w:val="nil"/>
            </w:tcBorders>
            <w:vAlign w:val="center"/>
          </w:tcPr>
          <w:p w14:paraId="424A6E3C" w14:textId="77777777" w:rsidR="006264FB" w:rsidRPr="001C6797" w:rsidRDefault="006264FB" w:rsidP="008F326A">
            <w:pPr>
              <w:widowControl w:val="0"/>
              <w:spacing w:before="60" w:after="60" w:line="240" w:lineRule="auto"/>
              <w:jc w:val="center"/>
            </w:pPr>
            <w:r>
              <w:rPr>
                <w:rFonts w:ascii="Arial" w:hAnsi="Arial" w:cs="Arial"/>
                <w:color w:val="000000"/>
              </w:rPr>
              <w:t>26.7</w:t>
            </w:r>
          </w:p>
        </w:tc>
        <w:tc>
          <w:tcPr>
            <w:tcW w:w="2127" w:type="dxa"/>
            <w:tcBorders>
              <w:top w:val="nil"/>
              <w:left w:val="nil"/>
              <w:bottom w:val="nil"/>
              <w:right w:val="nil"/>
            </w:tcBorders>
            <w:vAlign w:val="center"/>
          </w:tcPr>
          <w:p w14:paraId="3C73BC07" w14:textId="77777777" w:rsidR="006264FB" w:rsidRPr="00D62C82" w:rsidRDefault="006264FB" w:rsidP="008F326A">
            <w:pPr>
              <w:widowControl w:val="0"/>
              <w:spacing w:before="60" w:after="60" w:line="240" w:lineRule="auto"/>
              <w:jc w:val="center"/>
            </w:pPr>
            <w:r>
              <w:rPr>
                <w:rFonts w:ascii="Arial" w:hAnsi="Arial" w:cs="Arial"/>
                <w:color w:val="000000"/>
              </w:rPr>
              <w:t>Head Trauma</w:t>
            </w:r>
          </w:p>
        </w:tc>
      </w:tr>
      <w:tr w:rsidR="006264FB" w:rsidRPr="009241AE" w14:paraId="11019BDA" w14:textId="77777777" w:rsidTr="008F326A">
        <w:tc>
          <w:tcPr>
            <w:tcW w:w="709" w:type="dxa"/>
            <w:tcBorders>
              <w:top w:val="nil"/>
              <w:bottom w:val="nil"/>
            </w:tcBorders>
          </w:tcPr>
          <w:p w14:paraId="2C8C248D" w14:textId="77777777" w:rsidR="006264FB" w:rsidRDefault="006264FB" w:rsidP="008F326A">
            <w:pPr>
              <w:widowControl w:val="0"/>
              <w:spacing w:before="60" w:after="60" w:line="240" w:lineRule="auto"/>
              <w:rPr>
                <w:rFonts w:eastAsia="Times New Roman" w:cs="Calibri"/>
                <w:szCs w:val="24"/>
                <w:lang w:val="en-US" w:eastAsia="de-DE"/>
              </w:rPr>
            </w:pPr>
            <w:r>
              <w:rPr>
                <w:rFonts w:eastAsia="Times New Roman" w:cs="Calibri"/>
                <w:szCs w:val="24"/>
                <w:lang w:val="en-US" w:eastAsia="de-DE"/>
              </w:rPr>
              <w:t>D8</w:t>
            </w:r>
          </w:p>
        </w:tc>
        <w:tc>
          <w:tcPr>
            <w:tcW w:w="2126" w:type="dxa"/>
            <w:tcBorders>
              <w:top w:val="nil"/>
              <w:bottom w:val="nil"/>
              <w:right w:val="nil"/>
            </w:tcBorders>
          </w:tcPr>
          <w:p w14:paraId="1762F823" w14:textId="77777777" w:rsidR="006264FB" w:rsidRDefault="006264FB" w:rsidP="008F326A">
            <w:pPr>
              <w:widowControl w:val="0"/>
              <w:spacing w:before="60" w:after="60" w:line="240" w:lineRule="auto"/>
              <w:jc w:val="center"/>
              <w:rPr>
                <w:rFonts w:eastAsia="Times New Roman" w:cs="Calibri"/>
                <w:szCs w:val="24"/>
                <w:lang w:val="en-US" w:eastAsia="de-DE"/>
              </w:rPr>
            </w:pPr>
            <w:r>
              <w:rPr>
                <w:rFonts w:cs="Calibri"/>
                <w:szCs w:val="24"/>
                <w:lang w:val="en-US"/>
              </w:rPr>
              <w:t>Male</w:t>
            </w:r>
          </w:p>
        </w:tc>
        <w:tc>
          <w:tcPr>
            <w:tcW w:w="2126" w:type="dxa"/>
            <w:tcBorders>
              <w:top w:val="nil"/>
              <w:left w:val="nil"/>
              <w:bottom w:val="nil"/>
              <w:right w:val="nil"/>
            </w:tcBorders>
            <w:vAlign w:val="center"/>
          </w:tcPr>
          <w:p w14:paraId="4AD6120F" w14:textId="77777777" w:rsidR="006264FB" w:rsidRPr="001353AD" w:rsidRDefault="006264FB" w:rsidP="008F326A">
            <w:pPr>
              <w:widowControl w:val="0"/>
              <w:spacing w:before="60" w:after="60" w:line="240" w:lineRule="auto"/>
              <w:jc w:val="center"/>
            </w:pPr>
            <w:r>
              <w:rPr>
                <w:rFonts w:ascii="Arial" w:hAnsi="Arial" w:cs="Arial"/>
                <w:color w:val="000000"/>
              </w:rPr>
              <w:t>59</w:t>
            </w:r>
          </w:p>
        </w:tc>
        <w:tc>
          <w:tcPr>
            <w:tcW w:w="2126" w:type="dxa"/>
            <w:tcBorders>
              <w:top w:val="nil"/>
              <w:left w:val="nil"/>
              <w:bottom w:val="nil"/>
              <w:right w:val="nil"/>
            </w:tcBorders>
            <w:vAlign w:val="center"/>
          </w:tcPr>
          <w:p w14:paraId="117F9DE6" w14:textId="77777777" w:rsidR="006264FB" w:rsidRPr="001C6797" w:rsidRDefault="006264FB" w:rsidP="008F326A">
            <w:pPr>
              <w:widowControl w:val="0"/>
              <w:spacing w:before="60" w:after="60" w:line="240" w:lineRule="auto"/>
              <w:jc w:val="center"/>
            </w:pPr>
            <w:r>
              <w:rPr>
                <w:rFonts w:ascii="Arial" w:hAnsi="Arial" w:cs="Arial"/>
                <w:color w:val="000000"/>
              </w:rPr>
              <w:t>48.8</w:t>
            </w:r>
          </w:p>
        </w:tc>
        <w:tc>
          <w:tcPr>
            <w:tcW w:w="2127" w:type="dxa"/>
            <w:tcBorders>
              <w:top w:val="nil"/>
              <w:left w:val="nil"/>
              <w:bottom w:val="nil"/>
              <w:right w:val="nil"/>
            </w:tcBorders>
            <w:vAlign w:val="center"/>
          </w:tcPr>
          <w:p w14:paraId="67D928DD" w14:textId="77777777" w:rsidR="006264FB" w:rsidRPr="00D62C82" w:rsidRDefault="006264FB" w:rsidP="008F326A">
            <w:pPr>
              <w:widowControl w:val="0"/>
              <w:spacing w:before="60" w:after="60" w:line="240" w:lineRule="auto"/>
              <w:jc w:val="center"/>
            </w:pPr>
            <w:r>
              <w:rPr>
                <w:rFonts w:ascii="Arial" w:hAnsi="Arial" w:cs="Arial"/>
                <w:color w:val="000000"/>
              </w:rPr>
              <w:t>Anoxia</w:t>
            </w:r>
          </w:p>
        </w:tc>
      </w:tr>
      <w:tr w:rsidR="006264FB" w:rsidRPr="009241AE" w14:paraId="01B04486" w14:textId="77777777" w:rsidTr="008F326A">
        <w:tc>
          <w:tcPr>
            <w:tcW w:w="709" w:type="dxa"/>
            <w:tcBorders>
              <w:top w:val="nil"/>
              <w:bottom w:val="single" w:sz="4" w:space="0" w:color="auto"/>
            </w:tcBorders>
          </w:tcPr>
          <w:p w14:paraId="05C4AD73" w14:textId="77777777" w:rsidR="006264FB" w:rsidRDefault="006264FB" w:rsidP="008F326A">
            <w:pPr>
              <w:widowControl w:val="0"/>
              <w:spacing w:before="60" w:after="60" w:line="240" w:lineRule="auto"/>
              <w:rPr>
                <w:rFonts w:eastAsia="Times New Roman" w:cs="Calibri"/>
                <w:szCs w:val="24"/>
                <w:lang w:val="en-US" w:eastAsia="de-DE"/>
              </w:rPr>
            </w:pPr>
            <w:r>
              <w:rPr>
                <w:rFonts w:eastAsia="Times New Roman" w:cs="Calibri"/>
                <w:szCs w:val="24"/>
                <w:lang w:val="en-US" w:eastAsia="de-DE"/>
              </w:rPr>
              <w:t>D10</w:t>
            </w:r>
          </w:p>
        </w:tc>
        <w:tc>
          <w:tcPr>
            <w:tcW w:w="2126" w:type="dxa"/>
            <w:tcBorders>
              <w:top w:val="nil"/>
              <w:bottom w:val="single" w:sz="4" w:space="0" w:color="auto"/>
              <w:right w:val="nil"/>
            </w:tcBorders>
          </w:tcPr>
          <w:p w14:paraId="653ED18B" w14:textId="77777777" w:rsidR="006264FB" w:rsidRDefault="006264FB" w:rsidP="008F326A">
            <w:pPr>
              <w:widowControl w:val="0"/>
              <w:spacing w:before="60" w:after="60" w:line="240" w:lineRule="auto"/>
              <w:jc w:val="center"/>
              <w:rPr>
                <w:rFonts w:eastAsia="Times New Roman" w:cs="Calibri"/>
                <w:szCs w:val="24"/>
                <w:lang w:val="en-US" w:eastAsia="de-DE"/>
              </w:rPr>
            </w:pPr>
            <w:r>
              <w:rPr>
                <w:rFonts w:cs="Calibri"/>
                <w:szCs w:val="24"/>
                <w:lang w:val="en-US"/>
              </w:rPr>
              <w:t>Male</w:t>
            </w:r>
          </w:p>
        </w:tc>
        <w:tc>
          <w:tcPr>
            <w:tcW w:w="2126" w:type="dxa"/>
            <w:tcBorders>
              <w:top w:val="nil"/>
              <w:left w:val="nil"/>
              <w:bottom w:val="single" w:sz="4" w:space="0" w:color="auto"/>
              <w:right w:val="nil"/>
            </w:tcBorders>
            <w:vAlign w:val="center"/>
          </w:tcPr>
          <w:p w14:paraId="35F9A740" w14:textId="77777777" w:rsidR="006264FB" w:rsidRPr="001353AD" w:rsidRDefault="006264FB" w:rsidP="008F326A">
            <w:pPr>
              <w:widowControl w:val="0"/>
              <w:spacing w:before="60" w:after="60" w:line="240" w:lineRule="auto"/>
              <w:jc w:val="center"/>
            </w:pPr>
            <w:r>
              <w:rPr>
                <w:rFonts w:ascii="Arial" w:hAnsi="Arial" w:cs="Arial"/>
                <w:color w:val="000000"/>
              </w:rPr>
              <w:t>29</w:t>
            </w:r>
          </w:p>
        </w:tc>
        <w:tc>
          <w:tcPr>
            <w:tcW w:w="2126" w:type="dxa"/>
            <w:tcBorders>
              <w:top w:val="nil"/>
              <w:left w:val="nil"/>
              <w:bottom w:val="single" w:sz="4" w:space="0" w:color="auto"/>
              <w:right w:val="nil"/>
            </w:tcBorders>
            <w:vAlign w:val="center"/>
          </w:tcPr>
          <w:p w14:paraId="45920F5A" w14:textId="77777777" w:rsidR="006264FB" w:rsidRPr="001C6797" w:rsidRDefault="006264FB" w:rsidP="008F326A">
            <w:pPr>
              <w:widowControl w:val="0"/>
              <w:spacing w:before="60" w:after="60" w:line="240" w:lineRule="auto"/>
              <w:jc w:val="center"/>
            </w:pPr>
            <w:r>
              <w:rPr>
                <w:rFonts w:ascii="Arial" w:hAnsi="Arial" w:cs="Arial"/>
                <w:color w:val="000000"/>
              </w:rPr>
              <w:t>30.6</w:t>
            </w:r>
          </w:p>
        </w:tc>
        <w:tc>
          <w:tcPr>
            <w:tcW w:w="2127" w:type="dxa"/>
            <w:tcBorders>
              <w:top w:val="nil"/>
              <w:left w:val="nil"/>
              <w:bottom w:val="single" w:sz="4" w:space="0" w:color="auto"/>
              <w:right w:val="nil"/>
            </w:tcBorders>
            <w:vAlign w:val="center"/>
          </w:tcPr>
          <w:p w14:paraId="0F63C604" w14:textId="77777777" w:rsidR="006264FB" w:rsidRPr="00D62C82" w:rsidRDefault="006264FB" w:rsidP="008F326A">
            <w:pPr>
              <w:widowControl w:val="0"/>
              <w:spacing w:before="60" w:after="60" w:line="240" w:lineRule="auto"/>
              <w:jc w:val="center"/>
            </w:pPr>
            <w:r>
              <w:rPr>
                <w:rFonts w:ascii="Arial" w:hAnsi="Arial" w:cs="Arial"/>
                <w:color w:val="000000"/>
              </w:rPr>
              <w:t>Head Trauma</w:t>
            </w:r>
          </w:p>
        </w:tc>
      </w:tr>
    </w:tbl>
    <w:p w14:paraId="62417D94" w14:textId="77777777" w:rsidR="006264FB" w:rsidRPr="00496355" w:rsidRDefault="006264FB" w:rsidP="006264FB">
      <w:pPr>
        <w:rPr>
          <w:lang w:val="en-US"/>
        </w:rPr>
      </w:pPr>
      <w:r>
        <w:rPr>
          <w:lang w:val="en-US"/>
        </w:rPr>
        <w:t>BMI, body mass index.</w:t>
      </w:r>
    </w:p>
    <w:p w14:paraId="057B79C1" w14:textId="16E003BA" w:rsidR="006264FB" w:rsidRPr="00203EE4" w:rsidRDefault="006264FB" w:rsidP="006264FB">
      <w:pPr>
        <w:pageBreakBefore/>
        <w:spacing w:after="0"/>
        <w:rPr>
          <w:b/>
          <w:bCs/>
          <w:color w:val="000000" w:themeColor="text1"/>
          <w:sz w:val="24"/>
          <w:szCs w:val="24"/>
          <w:lang w:val="en-US"/>
        </w:rPr>
      </w:pPr>
      <w:r>
        <w:rPr>
          <w:b/>
          <w:bCs/>
          <w:color w:val="000000" w:themeColor="text1"/>
          <w:sz w:val="24"/>
          <w:szCs w:val="24"/>
          <w:lang w:val="en-US"/>
        </w:rPr>
        <w:lastRenderedPageBreak/>
        <w:t>Table S3</w:t>
      </w:r>
      <w:r w:rsidRPr="00203EE4">
        <w:rPr>
          <w:b/>
          <w:bCs/>
          <w:color w:val="000000" w:themeColor="text1"/>
          <w:sz w:val="24"/>
          <w:szCs w:val="24"/>
          <w:lang w:val="en-US"/>
        </w:rPr>
        <w:t>. Characteristics of patients</w:t>
      </w:r>
      <w:r w:rsidR="00B747AE">
        <w:rPr>
          <w:b/>
          <w:bCs/>
          <w:color w:val="000000" w:themeColor="text1"/>
          <w:sz w:val="24"/>
          <w:szCs w:val="24"/>
          <w:lang w:val="en-US"/>
        </w:rPr>
        <w:t xml:space="preserve"> involved in proteomic analysis</w:t>
      </w:r>
    </w:p>
    <w:tbl>
      <w:tblPr>
        <w:tblW w:w="9026" w:type="dxa"/>
        <w:tblBorders>
          <w:top w:val="single" w:sz="12" w:space="0" w:color="008000"/>
          <w:bottom w:val="single" w:sz="12" w:space="0" w:color="008000"/>
        </w:tblBorders>
        <w:tblLook w:val="00A0" w:firstRow="1" w:lastRow="0" w:firstColumn="1" w:lastColumn="0" w:noHBand="0" w:noVBand="0"/>
      </w:tblPr>
      <w:tblGrid>
        <w:gridCol w:w="2362"/>
        <w:gridCol w:w="2139"/>
        <w:gridCol w:w="2287"/>
        <w:gridCol w:w="2238"/>
      </w:tblGrid>
      <w:tr w:rsidR="002521E4" w:rsidRPr="009241AE" w14:paraId="4A7A2B40" w14:textId="7708452C" w:rsidTr="00252D88">
        <w:tc>
          <w:tcPr>
            <w:tcW w:w="2362" w:type="dxa"/>
            <w:tcBorders>
              <w:top w:val="single" w:sz="12" w:space="0" w:color="auto"/>
              <w:bottom w:val="nil"/>
            </w:tcBorders>
          </w:tcPr>
          <w:p w14:paraId="6CFA8334" w14:textId="77777777" w:rsidR="002521E4" w:rsidRPr="009241AE" w:rsidRDefault="002521E4" w:rsidP="008F326A">
            <w:pPr>
              <w:widowControl w:val="0"/>
              <w:spacing w:before="60" w:after="60" w:line="240" w:lineRule="auto"/>
              <w:rPr>
                <w:rFonts w:eastAsia="Times New Roman" w:cs="Calibri"/>
                <w:szCs w:val="24"/>
                <w:lang w:val="en-US" w:eastAsia="de-DE"/>
              </w:rPr>
            </w:pPr>
          </w:p>
        </w:tc>
        <w:tc>
          <w:tcPr>
            <w:tcW w:w="2139" w:type="dxa"/>
            <w:tcBorders>
              <w:top w:val="single" w:sz="12" w:space="0" w:color="auto"/>
              <w:bottom w:val="nil"/>
            </w:tcBorders>
          </w:tcPr>
          <w:p w14:paraId="61885487" w14:textId="294B2441" w:rsidR="002521E4" w:rsidRPr="009241AE" w:rsidRDefault="002521E4" w:rsidP="002521E4">
            <w:pPr>
              <w:widowControl w:val="0"/>
              <w:spacing w:before="60" w:after="60" w:line="240" w:lineRule="auto"/>
              <w:jc w:val="center"/>
              <w:rPr>
                <w:rFonts w:eastAsia="Times New Roman" w:cs="Calibri"/>
                <w:b/>
                <w:szCs w:val="24"/>
                <w:lang w:val="en-US" w:eastAsia="de-DE"/>
              </w:rPr>
            </w:pPr>
            <w:r w:rsidRPr="009241AE">
              <w:rPr>
                <w:rFonts w:eastAsia="Times New Roman" w:cs="Calibri"/>
                <w:b/>
                <w:szCs w:val="24"/>
                <w:lang w:val="en-US" w:eastAsia="de-DE"/>
              </w:rPr>
              <w:t>Ctrl</w:t>
            </w:r>
          </w:p>
        </w:tc>
        <w:tc>
          <w:tcPr>
            <w:tcW w:w="2287" w:type="dxa"/>
            <w:tcBorders>
              <w:top w:val="single" w:sz="12" w:space="0" w:color="auto"/>
              <w:bottom w:val="nil"/>
            </w:tcBorders>
          </w:tcPr>
          <w:p w14:paraId="461FBBF3" w14:textId="32A13E21" w:rsidR="002521E4" w:rsidRPr="009241AE" w:rsidRDefault="002521E4" w:rsidP="002521E4">
            <w:pPr>
              <w:widowControl w:val="0"/>
              <w:spacing w:before="60" w:after="60" w:line="240" w:lineRule="auto"/>
              <w:jc w:val="center"/>
              <w:rPr>
                <w:rFonts w:eastAsia="Times New Roman" w:cs="Calibri"/>
                <w:b/>
                <w:szCs w:val="24"/>
                <w:lang w:val="en-US" w:eastAsia="de-DE"/>
              </w:rPr>
            </w:pPr>
            <w:proofErr w:type="spellStart"/>
            <w:r w:rsidRPr="009241AE">
              <w:rPr>
                <w:rFonts w:eastAsia="Times New Roman" w:cs="Calibri"/>
                <w:b/>
                <w:szCs w:val="24"/>
                <w:lang w:val="en-US" w:eastAsia="de-DE"/>
              </w:rPr>
              <w:t>persAF</w:t>
            </w:r>
            <w:proofErr w:type="spellEnd"/>
          </w:p>
        </w:tc>
        <w:tc>
          <w:tcPr>
            <w:tcW w:w="2238" w:type="dxa"/>
            <w:vMerge w:val="restart"/>
            <w:tcBorders>
              <w:top w:val="single" w:sz="12" w:space="0" w:color="auto"/>
            </w:tcBorders>
            <w:vAlign w:val="center"/>
          </w:tcPr>
          <w:p w14:paraId="1352AD50" w14:textId="7B662D42" w:rsidR="002521E4" w:rsidRPr="00AE0BE0" w:rsidRDefault="002521E4" w:rsidP="002521E4">
            <w:pPr>
              <w:widowControl w:val="0"/>
              <w:spacing w:before="60" w:after="60" w:line="240" w:lineRule="auto"/>
              <w:jc w:val="center"/>
              <w:rPr>
                <w:rFonts w:eastAsia="Times New Roman" w:cs="Calibri"/>
                <w:b/>
                <w:szCs w:val="24"/>
                <w:highlight w:val="yellow"/>
                <w:lang w:val="en-US" w:eastAsia="de-DE"/>
              </w:rPr>
            </w:pPr>
            <w:r w:rsidRPr="007309ED">
              <w:rPr>
                <w:rFonts w:eastAsia="Times New Roman" w:cs="Calibri"/>
                <w:b/>
                <w:i/>
                <w:szCs w:val="24"/>
                <w:lang w:val="en-US" w:eastAsia="de-DE"/>
              </w:rPr>
              <w:t>p</w:t>
            </w:r>
            <w:r w:rsidRPr="007309ED">
              <w:rPr>
                <w:rFonts w:eastAsia="Times New Roman" w:cs="Calibri"/>
                <w:b/>
                <w:szCs w:val="24"/>
                <w:lang w:val="en-US" w:eastAsia="de-DE"/>
              </w:rPr>
              <w:t xml:space="preserve"> value</w:t>
            </w:r>
          </w:p>
        </w:tc>
      </w:tr>
      <w:tr w:rsidR="002521E4" w:rsidRPr="009241AE" w14:paraId="74162A28" w14:textId="77777777" w:rsidTr="00252D88">
        <w:tc>
          <w:tcPr>
            <w:tcW w:w="2362" w:type="dxa"/>
            <w:tcBorders>
              <w:top w:val="nil"/>
              <w:bottom w:val="single" w:sz="12" w:space="0" w:color="auto"/>
            </w:tcBorders>
          </w:tcPr>
          <w:p w14:paraId="5E70E332" w14:textId="77777777" w:rsidR="002521E4" w:rsidRPr="009241AE" w:rsidRDefault="002521E4" w:rsidP="008F326A">
            <w:pPr>
              <w:widowControl w:val="0"/>
              <w:spacing w:before="60" w:after="60" w:line="240" w:lineRule="auto"/>
              <w:rPr>
                <w:rFonts w:eastAsia="Times New Roman" w:cs="Calibri"/>
                <w:szCs w:val="24"/>
                <w:lang w:val="en-US" w:eastAsia="de-DE"/>
              </w:rPr>
            </w:pPr>
          </w:p>
        </w:tc>
        <w:tc>
          <w:tcPr>
            <w:tcW w:w="2139" w:type="dxa"/>
            <w:tcBorders>
              <w:top w:val="nil"/>
              <w:bottom w:val="single" w:sz="12" w:space="0" w:color="auto"/>
            </w:tcBorders>
          </w:tcPr>
          <w:p w14:paraId="2BC8CD5B" w14:textId="331D60DD" w:rsidR="002521E4" w:rsidRPr="009241AE" w:rsidRDefault="002521E4" w:rsidP="002521E4">
            <w:pPr>
              <w:widowControl w:val="0"/>
              <w:spacing w:before="60" w:after="60" w:line="240" w:lineRule="auto"/>
              <w:jc w:val="center"/>
              <w:rPr>
                <w:rFonts w:eastAsia="Times New Roman" w:cs="Calibri"/>
                <w:b/>
                <w:szCs w:val="24"/>
                <w:lang w:val="en-US" w:eastAsia="de-DE"/>
              </w:rPr>
            </w:pPr>
            <w:r>
              <w:rPr>
                <w:rFonts w:eastAsia="Times New Roman" w:cs="Calibri"/>
                <w:b/>
                <w:szCs w:val="24"/>
                <w:lang w:val="en-US" w:eastAsia="de-DE"/>
              </w:rPr>
              <w:t>(n=15)</w:t>
            </w:r>
          </w:p>
        </w:tc>
        <w:tc>
          <w:tcPr>
            <w:tcW w:w="2287" w:type="dxa"/>
            <w:tcBorders>
              <w:top w:val="nil"/>
              <w:bottom w:val="single" w:sz="12" w:space="0" w:color="auto"/>
            </w:tcBorders>
          </w:tcPr>
          <w:p w14:paraId="517AEDE1" w14:textId="17EBB9CC" w:rsidR="002521E4" w:rsidRPr="009241AE" w:rsidRDefault="002521E4" w:rsidP="002521E4">
            <w:pPr>
              <w:widowControl w:val="0"/>
              <w:spacing w:before="60" w:after="60" w:line="240" w:lineRule="auto"/>
              <w:jc w:val="center"/>
              <w:rPr>
                <w:rFonts w:eastAsia="Times New Roman" w:cs="Calibri"/>
                <w:b/>
                <w:szCs w:val="24"/>
                <w:lang w:val="en-US" w:eastAsia="de-DE"/>
              </w:rPr>
            </w:pPr>
            <w:r>
              <w:rPr>
                <w:rFonts w:eastAsia="Times New Roman" w:cs="Calibri"/>
                <w:b/>
                <w:szCs w:val="24"/>
                <w:lang w:val="en-US" w:eastAsia="de-DE"/>
              </w:rPr>
              <w:t>(n=16)</w:t>
            </w:r>
          </w:p>
        </w:tc>
        <w:tc>
          <w:tcPr>
            <w:tcW w:w="2238" w:type="dxa"/>
            <w:vMerge/>
            <w:tcBorders>
              <w:bottom w:val="single" w:sz="12" w:space="0" w:color="auto"/>
            </w:tcBorders>
            <w:vAlign w:val="center"/>
          </w:tcPr>
          <w:p w14:paraId="7404B810" w14:textId="77777777" w:rsidR="002521E4" w:rsidRPr="00AE0BE0" w:rsidRDefault="002521E4" w:rsidP="002521E4">
            <w:pPr>
              <w:widowControl w:val="0"/>
              <w:spacing w:before="60" w:after="60" w:line="240" w:lineRule="auto"/>
              <w:jc w:val="center"/>
              <w:rPr>
                <w:rFonts w:eastAsia="Times New Roman" w:cs="Calibri"/>
                <w:b/>
                <w:i/>
                <w:szCs w:val="24"/>
                <w:highlight w:val="yellow"/>
                <w:lang w:val="en-US" w:eastAsia="de-DE"/>
              </w:rPr>
            </w:pPr>
          </w:p>
        </w:tc>
      </w:tr>
      <w:tr w:rsidR="007902B6" w:rsidRPr="009241AE" w14:paraId="4FF299ED" w14:textId="0F7A1879" w:rsidTr="00252D88">
        <w:tc>
          <w:tcPr>
            <w:tcW w:w="2362" w:type="dxa"/>
            <w:tcBorders>
              <w:top w:val="single" w:sz="12" w:space="0" w:color="auto"/>
            </w:tcBorders>
          </w:tcPr>
          <w:p w14:paraId="3879DEC1"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Sex, male/female</w:t>
            </w:r>
          </w:p>
        </w:tc>
        <w:tc>
          <w:tcPr>
            <w:tcW w:w="2139" w:type="dxa"/>
            <w:tcBorders>
              <w:top w:val="single" w:sz="12" w:space="0" w:color="auto"/>
            </w:tcBorders>
          </w:tcPr>
          <w:p w14:paraId="366355B3"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1</w:t>
            </w:r>
            <w:r>
              <w:rPr>
                <w:rFonts w:cs="Calibri"/>
                <w:szCs w:val="24"/>
                <w:lang w:val="en-US"/>
              </w:rPr>
              <w:t>2</w:t>
            </w:r>
            <w:r w:rsidRPr="009241AE">
              <w:rPr>
                <w:rFonts w:cs="Calibri"/>
                <w:szCs w:val="24"/>
                <w:lang w:val="en-US"/>
              </w:rPr>
              <w:t>/</w:t>
            </w:r>
            <w:r>
              <w:rPr>
                <w:rFonts w:cs="Calibri"/>
                <w:szCs w:val="24"/>
                <w:lang w:val="en-US"/>
              </w:rPr>
              <w:t>3</w:t>
            </w:r>
          </w:p>
        </w:tc>
        <w:tc>
          <w:tcPr>
            <w:tcW w:w="2287" w:type="dxa"/>
            <w:tcBorders>
              <w:top w:val="single" w:sz="12" w:space="0" w:color="auto"/>
            </w:tcBorders>
          </w:tcPr>
          <w:p w14:paraId="1BDB87BA"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cs="Calibri"/>
                <w:szCs w:val="24"/>
                <w:lang w:val="en-US"/>
              </w:rPr>
              <w:t>9</w:t>
            </w:r>
            <w:r w:rsidRPr="009241AE">
              <w:rPr>
                <w:rFonts w:cs="Calibri"/>
                <w:szCs w:val="24"/>
                <w:lang w:val="en-US"/>
              </w:rPr>
              <w:t>/</w:t>
            </w:r>
            <w:r>
              <w:rPr>
                <w:rFonts w:cs="Calibri"/>
                <w:szCs w:val="24"/>
                <w:lang w:val="en-US"/>
              </w:rPr>
              <w:t>7</w:t>
            </w:r>
          </w:p>
        </w:tc>
        <w:tc>
          <w:tcPr>
            <w:tcW w:w="2238" w:type="dxa"/>
            <w:tcBorders>
              <w:top w:val="single" w:sz="12" w:space="0" w:color="auto"/>
            </w:tcBorders>
          </w:tcPr>
          <w:p w14:paraId="5A09A496" w14:textId="5A2F1EED" w:rsidR="007902B6" w:rsidRPr="007309ED" w:rsidRDefault="007902B6" w:rsidP="008F326A">
            <w:pPr>
              <w:widowControl w:val="0"/>
              <w:spacing w:before="60" w:after="60" w:line="240" w:lineRule="auto"/>
              <w:jc w:val="center"/>
              <w:rPr>
                <w:rFonts w:cs="Calibri"/>
                <w:szCs w:val="24"/>
                <w:lang w:val="en-US"/>
              </w:rPr>
            </w:pPr>
            <w:r w:rsidRPr="007309ED">
              <w:rPr>
                <w:rFonts w:cs="Calibri"/>
                <w:szCs w:val="24"/>
                <w:lang w:val="en-US"/>
              </w:rPr>
              <w:t>0.252</w:t>
            </w:r>
          </w:p>
        </w:tc>
      </w:tr>
      <w:tr w:rsidR="007902B6" w:rsidRPr="009241AE" w14:paraId="7DEFE532" w14:textId="3EFBE509" w:rsidTr="007902B6">
        <w:tc>
          <w:tcPr>
            <w:tcW w:w="2362" w:type="dxa"/>
          </w:tcPr>
          <w:p w14:paraId="2907EB25"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Age, y</w:t>
            </w:r>
          </w:p>
        </w:tc>
        <w:tc>
          <w:tcPr>
            <w:tcW w:w="2139" w:type="dxa"/>
          </w:tcPr>
          <w:p w14:paraId="2FD4C04F"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65.</w:t>
            </w:r>
            <w:r>
              <w:rPr>
                <w:rFonts w:cs="Calibri"/>
                <w:szCs w:val="24"/>
                <w:lang w:val="en-US"/>
              </w:rPr>
              <w:t>7</w:t>
            </w:r>
            <w:r w:rsidRPr="009241AE">
              <w:rPr>
                <w:rFonts w:cs="Calibri"/>
                <w:szCs w:val="24"/>
                <w:lang w:val="en-US"/>
              </w:rPr>
              <w:t xml:space="preserve"> </w:t>
            </w:r>
            <w:r w:rsidRPr="009241AE">
              <w:rPr>
                <w:rFonts w:ascii="Symbol" w:eastAsia="Symbol" w:hAnsi="Symbol" w:cs="Symbol"/>
                <w:szCs w:val="24"/>
                <w:lang w:val="en-US"/>
              </w:rPr>
              <w:t></w:t>
            </w:r>
            <w:r w:rsidRPr="009241AE">
              <w:rPr>
                <w:rFonts w:cs="Calibri"/>
                <w:szCs w:val="24"/>
                <w:lang w:val="en-US"/>
              </w:rPr>
              <w:t xml:space="preserve"> 2</w:t>
            </w:r>
            <w:r>
              <w:rPr>
                <w:rFonts w:cs="Calibri"/>
                <w:szCs w:val="24"/>
                <w:lang w:val="en-US"/>
              </w:rPr>
              <w:t>.7</w:t>
            </w:r>
          </w:p>
        </w:tc>
        <w:tc>
          <w:tcPr>
            <w:tcW w:w="2287" w:type="dxa"/>
          </w:tcPr>
          <w:p w14:paraId="0FE276B0"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6</w:t>
            </w:r>
            <w:r>
              <w:rPr>
                <w:rFonts w:cs="Calibri"/>
                <w:szCs w:val="24"/>
                <w:lang w:val="en-US"/>
              </w:rPr>
              <w:t>9</w:t>
            </w:r>
            <w:r w:rsidRPr="009241AE">
              <w:rPr>
                <w:rFonts w:cs="Calibri"/>
                <w:szCs w:val="24"/>
                <w:lang w:val="en-US"/>
              </w:rPr>
              <w:t>.</w:t>
            </w:r>
            <w:r>
              <w:rPr>
                <w:rFonts w:cs="Calibri"/>
                <w:szCs w:val="24"/>
                <w:lang w:val="en-US"/>
              </w:rPr>
              <w:t>8</w:t>
            </w:r>
            <w:r w:rsidRPr="009241AE">
              <w:rPr>
                <w:rFonts w:cs="Calibri"/>
                <w:szCs w:val="24"/>
                <w:lang w:val="en-US"/>
              </w:rPr>
              <w:t xml:space="preserve"> </w:t>
            </w:r>
            <w:r w:rsidRPr="009241AE">
              <w:rPr>
                <w:rFonts w:ascii="Symbol" w:eastAsia="Symbol" w:hAnsi="Symbol" w:cs="Symbol"/>
                <w:szCs w:val="24"/>
                <w:lang w:val="en-US"/>
              </w:rPr>
              <w:t></w:t>
            </w:r>
            <w:r w:rsidRPr="009241AE">
              <w:rPr>
                <w:rFonts w:cs="Calibri"/>
                <w:szCs w:val="24"/>
                <w:lang w:val="en-US"/>
              </w:rPr>
              <w:t xml:space="preserve"> </w:t>
            </w:r>
            <w:r>
              <w:rPr>
                <w:rFonts w:cs="Calibri"/>
                <w:szCs w:val="24"/>
                <w:lang w:val="en-US"/>
              </w:rPr>
              <w:t>2</w:t>
            </w:r>
            <w:r w:rsidRPr="009241AE">
              <w:rPr>
                <w:rFonts w:cs="Calibri"/>
                <w:szCs w:val="24"/>
                <w:lang w:val="en-US"/>
              </w:rPr>
              <w:t>.1</w:t>
            </w:r>
          </w:p>
        </w:tc>
        <w:tc>
          <w:tcPr>
            <w:tcW w:w="2238" w:type="dxa"/>
          </w:tcPr>
          <w:p w14:paraId="608E5C3D" w14:textId="630931EE" w:rsidR="007902B6" w:rsidRPr="007309ED" w:rsidRDefault="002521E4" w:rsidP="008F326A">
            <w:pPr>
              <w:widowControl w:val="0"/>
              <w:spacing w:before="60" w:after="60" w:line="240" w:lineRule="auto"/>
              <w:jc w:val="center"/>
              <w:rPr>
                <w:rFonts w:cs="Calibri"/>
                <w:szCs w:val="24"/>
                <w:lang w:val="en-US"/>
              </w:rPr>
            </w:pPr>
            <w:r w:rsidRPr="007309ED">
              <w:rPr>
                <w:rFonts w:cs="Calibri"/>
                <w:szCs w:val="24"/>
                <w:lang w:val="en-US"/>
              </w:rPr>
              <w:t>0.097</w:t>
            </w:r>
          </w:p>
        </w:tc>
      </w:tr>
      <w:tr w:rsidR="007902B6" w:rsidRPr="009241AE" w14:paraId="037A34DB" w14:textId="5075856C" w:rsidTr="007902B6">
        <w:tc>
          <w:tcPr>
            <w:tcW w:w="2362" w:type="dxa"/>
          </w:tcPr>
          <w:p w14:paraId="7738B642"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Body mass index, kg/m</w:t>
            </w:r>
            <w:r w:rsidRPr="009241AE">
              <w:rPr>
                <w:rFonts w:eastAsia="Times New Roman" w:cs="Calibri"/>
                <w:szCs w:val="24"/>
                <w:vertAlign w:val="superscript"/>
                <w:lang w:val="en-US" w:eastAsia="de-DE"/>
              </w:rPr>
              <w:t>2</w:t>
            </w:r>
          </w:p>
        </w:tc>
        <w:tc>
          <w:tcPr>
            <w:tcW w:w="2139" w:type="dxa"/>
          </w:tcPr>
          <w:p w14:paraId="55B4EEFF"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28.</w:t>
            </w:r>
            <w:r>
              <w:rPr>
                <w:rFonts w:cs="Calibri"/>
                <w:szCs w:val="24"/>
                <w:lang w:val="en-US"/>
              </w:rPr>
              <w:t>6</w:t>
            </w:r>
            <w:r w:rsidRPr="009241AE">
              <w:rPr>
                <w:rFonts w:cs="Calibri"/>
                <w:szCs w:val="24"/>
                <w:lang w:val="en-US"/>
              </w:rPr>
              <w:t xml:space="preserve"> </w:t>
            </w:r>
            <w:r w:rsidRPr="009241AE">
              <w:rPr>
                <w:rFonts w:ascii="Symbol" w:eastAsia="Symbol" w:hAnsi="Symbol" w:cs="Symbol"/>
                <w:szCs w:val="24"/>
                <w:lang w:val="en-US"/>
              </w:rPr>
              <w:t></w:t>
            </w:r>
            <w:r w:rsidRPr="009241AE">
              <w:rPr>
                <w:rFonts w:cs="Calibri"/>
                <w:szCs w:val="24"/>
                <w:lang w:val="en-US"/>
              </w:rPr>
              <w:t xml:space="preserve"> 1.</w:t>
            </w:r>
            <w:r>
              <w:rPr>
                <w:rFonts w:cs="Calibri"/>
                <w:szCs w:val="24"/>
                <w:lang w:val="en-US"/>
              </w:rPr>
              <w:t>5</w:t>
            </w:r>
          </w:p>
        </w:tc>
        <w:tc>
          <w:tcPr>
            <w:tcW w:w="2287" w:type="dxa"/>
          </w:tcPr>
          <w:p w14:paraId="19419191"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2</w:t>
            </w:r>
            <w:r>
              <w:rPr>
                <w:rFonts w:cs="Calibri"/>
                <w:szCs w:val="24"/>
                <w:lang w:val="en-US"/>
              </w:rPr>
              <w:t>5</w:t>
            </w:r>
            <w:r w:rsidRPr="009241AE">
              <w:rPr>
                <w:rFonts w:cs="Calibri"/>
                <w:szCs w:val="24"/>
                <w:lang w:val="en-US"/>
              </w:rPr>
              <w:t>.</w:t>
            </w:r>
            <w:r>
              <w:rPr>
                <w:rFonts w:cs="Calibri"/>
                <w:szCs w:val="24"/>
                <w:lang w:val="en-US"/>
              </w:rPr>
              <w:t>5</w:t>
            </w:r>
            <w:r w:rsidRPr="009241AE">
              <w:rPr>
                <w:rFonts w:cs="Calibri"/>
                <w:szCs w:val="24"/>
                <w:lang w:val="en-US"/>
              </w:rPr>
              <w:t xml:space="preserve"> </w:t>
            </w:r>
            <w:r w:rsidRPr="009241AE">
              <w:rPr>
                <w:rFonts w:ascii="Symbol" w:eastAsia="Symbol" w:hAnsi="Symbol" w:cs="Symbol"/>
                <w:szCs w:val="24"/>
                <w:lang w:val="en-US"/>
              </w:rPr>
              <w:t></w:t>
            </w:r>
            <w:r w:rsidRPr="009241AE">
              <w:rPr>
                <w:rFonts w:cs="Calibri"/>
                <w:szCs w:val="24"/>
                <w:lang w:val="en-US"/>
              </w:rPr>
              <w:t xml:space="preserve"> 1.2</w:t>
            </w:r>
          </w:p>
        </w:tc>
        <w:tc>
          <w:tcPr>
            <w:tcW w:w="2238" w:type="dxa"/>
          </w:tcPr>
          <w:p w14:paraId="478C6457" w14:textId="02074419" w:rsidR="007902B6" w:rsidRPr="007309ED" w:rsidRDefault="002521E4" w:rsidP="008F326A">
            <w:pPr>
              <w:widowControl w:val="0"/>
              <w:spacing w:before="60" w:after="60" w:line="240" w:lineRule="auto"/>
              <w:jc w:val="center"/>
              <w:rPr>
                <w:rFonts w:cs="Calibri"/>
                <w:szCs w:val="24"/>
                <w:lang w:val="en-US"/>
              </w:rPr>
            </w:pPr>
            <w:r w:rsidRPr="007309ED">
              <w:rPr>
                <w:rFonts w:cs="Calibri"/>
                <w:szCs w:val="24"/>
                <w:lang w:val="en-US"/>
              </w:rPr>
              <w:t>0.175</w:t>
            </w:r>
          </w:p>
        </w:tc>
      </w:tr>
      <w:tr w:rsidR="007902B6" w:rsidRPr="009241AE" w14:paraId="19D1D11C" w14:textId="6FF22ADB" w:rsidTr="007902B6">
        <w:tc>
          <w:tcPr>
            <w:tcW w:w="2362" w:type="dxa"/>
          </w:tcPr>
          <w:p w14:paraId="024A6C7C" w14:textId="77777777" w:rsidR="007902B6" w:rsidRPr="009241AE" w:rsidRDefault="007902B6" w:rsidP="008F326A">
            <w:pPr>
              <w:widowControl w:val="0"/>
              <w:spacing w:before="60" w:after="60" w:line="240" w:lineRule="auto"/>
              <w:rPr>
                <w:rFonts w:eastAsia="Times New Roman" w:cs="Calibri"/>
                <w:szCs w:val="24"/>
                <w:lang w:val="en-US" w:eastAsia="de-DE"/>
              </w:rPr>
            </w:pPr>
          </w:p>
        </w:tc>
        <w:tc>
          <w:tcPr>
            <w:tcW w:w="2139" w:type="dxa"/>
          </w:tcPr>
          <w:p w14:paraId="7C3089FD"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p>
        </w:tc>
        <w:tc>
          <w:tcPr>
            <w:tcW w:w="2287" w:type="dxa"/>
          </w:tcPr>
          <w:p w14:paraId="6D2AB0E9"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p>
        </w:tc>
        <w:tc>
          <w:tcPr>
            <w:tcW w:w="2238" w:type="dxa"/>
          </w:tcPr>
          <w:p w14:paraId="3862F7D0" w14:textId="77777777" w:rsidR="007902B6" w:rsidRPr="007309ED" w:rsidRDefault="007902B6" w:rsidP="008F326A">
            <w:pPr>
              <w:widowControl w:val="0"/>
              <w:spacing w:before="60" w:after="60" w:line="240" w:lineRule="auto"/>
              <w:jc w:val="center"/>
              <w:rPr>
                <w:rFonts w:eastAsia="Times New Roman" w:cs="Calibri"/>
                <w:szCs w:val="24"/>
                <w:lang w:val="en-US" w:eastAsia="de-DE"/>
              </w:rPr>
            </w:pPr>
          </w:p>
        </w:tc>
      </w:tr>
      <w:tr w:rsidR="007902B6" w:rsidRPr="009241AE" w14:paraId="68F43B17" w14:textId="47C9C1E6" w:rsidTr="007902B6">
        <w:tc>
          <w:tcPr>
            <w:tcW w:w="2362" w:type="dxa"/>
          </w:tcPr>
          <w:p w14:paraId="214FD965"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CAD, n</w:t>
            </w:r>
          </w:p>
        </w:tc>
        <w:tc>
          <w:tcPr>
            <w:tcW w:w="2139" w:type="dxa"/>
          </w:tcPr>
          <w:p w14:paraId="0F53B057"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1</w:t>
            </w:r>
            <w:r>
              <w:rPr>
                <w:rFonts w:cs="Calibri"/>
                <w:szCs w:val="24"/>
                <w:lang w:val="en-US"/>
              </w:rPr>
              <w:t>2</w:t>
            </w:r>
          </w:p>
        </w:tc>
        <w:tc>
          <w:tcPr>
            <w:tcW w:w="2287" w:type="dxa"/>
          </w:tcPr>
          <w:p w14:paraId="18A0B95F" w14:textId="77777777" w:rsidR="007902B6" w:rsidRPr="0056197A" w:rsidRDefault="007902B6" w:rsidP="008F326A">
            <w:pPr>
              <w:widowControl w:val="0"/>
              <w:spacing w:before="60" w:after="60" w:line="240" w:lineRule="auto"/>
              <w:jc w:val="center"/>
              <w:rPr>
                <w:rFonts w:eastAsia="Times New Roman" w:cs="Calibri"/>
                <w:szCs w:val="24"/>
                <w:lang w:val="en-US" w:eastAsia="de-DE"/>
              </w:rPr>
            </w:pPr>
            <w:r w:rsidRPr="0056197A">
              <w:rPr>
                <w:rFonts w:eastAsia="Times New Roman" w:cs="Calibri"/>
                <w:szCs w:val="24"/>
                <w:lang w:val="en-US" w:eastAsia="de-DE"/>
              </w:rPr>
              <w:t>7</w:t>
            </w:r>
          </w:p>
        </w:tc>
        <w:tc>
          <w:tcPr>
            <w:tcW w:w="2238" w:type="dxa"/>
          </w:tcPr>
          <w:p w14:paraId="22207E81" w14:textId="57B768F8" w:rsidR="007902B6" w:rsidRPr="007309ED" w:rsidRDefault="007902B6" w:rsidP="008F326A">
            <w:pPr>
              <w:widowControl w:val="0"/>
              <w:spacing w:before="60" w:after="60" w:line="240" w:lineRule="auto"/>
              <w:jc w:val="center"/>
              <w:rPr>
                <w:rFonts w:eastAsia="Times New Roman" w:cs="Calibri"/>
                <w:szCs w:val="24"/>
                <w:lang w:val="en-US" w:eastAsia="de-DE"/>
              </w:rPr>
            </w:pPr>
            <w:r w:rsidRPr="007309ED">
              <w:rPr>
                <w:rFonts w:eastAsia="Times New Roman" w:cs="Calibri"/>
                <w:szCs w:val="24"/>
                <w:lang w:val="en-US" w:eastAsia="de-DE"/>
              </w:rPr>
              <w:t>0.066</w:t>
            </w:r>
          </w:p>
        </w:tc>
      </w:tr>
      <w:tr w:rsidR="007902B6" w:rsidRPr="009241AE" w14:paraId="04007A1B" w14:textId="53A1EE8F" w:rsidTr="007902B6">
        <w:tc>
          <w:tcPr>
            <w:tcW w:w="2362" w:type="dxa"/>
          </w:tcPr>
          <w:p w14:paraId="7C8BC96D"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MVD/AVD, n</w:t>
            </w:r>
          </w:p>
        </w:tc>
        <w:tc>
          <w:tcPr>
            <w:tcW w:w="2139" w:type="dxa"/>
          </w:tcPr>
          <w:p w14:paraId="19BB6644"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1</w:t>
            </w:r>
          </w:p>
        </w:tc>
        <w:tc>
          <w:tcPr>
            <w:tcW w:w="2287" w:type="dxa"/>
          </w:tcPr>
          <w:p w14:paraId="454F085C" w14:textId="77777777" w:rsidR="007902B6" w:rsidRPr="0056197A" w:rsidRDefault="007902B6" w:rsidP="008F326A">
            <w:pPr>
              <w:widowControl w:val="0"/>
              <w:spacing w:before="60" w:after="60" w:line="240" w:lineRule="auto"/>
              <w:jc w:val="center"/>
              <w:rPr>
                <w:rFonts w:eastAsia="Times New Roman" w:cs="Calibri"/>
                <w:szCs w:val="24"/>
                <w:lang w:val="en-US" w:eastAsia="de-DE"/>
              </w:rPr>
            </w:pPr>
            <w:r w:rsidRPr="0056197A">
              <w:rPr>
                <w:rFonts w:eastAsia="Times New Roman" w:cs="Calibri"/>
                <w:szCs w:val="24"/>
                <w:lang w:val="en-US" w:eastAsia="de-DE"/>
              </w:rPr>
              <w:t>6</w:t>
            </w:r>
          </w:p>
        </w:tc>
        <w:tc>
          <w:tcPr>
            <w:tcW w:w="2238" w:type="dxa"/>
          </w:tcPr>
          <w:p w14:paraId="0649B9AC" w14:textId="2BDC09AF" w:rsidR="007902B6" w:rsidRPr="007309ED" w:rsidRDefault="007902B6" w:rsidP="008F326A">
            <w:pPr>
              <w:widowControl w:val="0"/>
              <w:spacing w:before="60" w:after="60" w:line="240" w:lineRule="auto"/>
              <w:jc w:val="center"/>
              <w:rPr>
                <w:rFonts w:eastAsia="Times New Roman" w:cs="Calibri"/>
                <w:szCs w:val="24"/>
                <w:lang w:val="en-US" w:eastAsia="de-DE"/>
              </w:rPr>
            </w:pPr>
            <w:r w:rsidRPr="007309ED">
              <w:rPr>
                <w:rFonts w:eastAsia="Times New Roman" w:cs="Calibri"/>
                <w:szCs w:val="24"/>
                <w:lang w:val="en-US" w:eastAsia="de-DE"/>
              </w:rPr>
              <w:t>0.083</w:t>
            </w:r>
          </w:p>
        </w:tc>
      </w:tr>
      <w:tr w:rsidR="007902B6" w:rsidRPr="009241AE" w14:paraId="00CD4DFA" w14:textId="5564A72B" w:rsidTr="007902B6">
        <w:tc>
          <w:tcPr>
            <w:tcW w:w="2362" w:type="dxa"/>
          </w:tcPr>
          <w:p w14:paraId="215918A1"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CAD+MVD/AVD, n</w:t>
            </w:r>
          </w:p>
        </w:tc>
        <w:tc>
          <w:tcPr>
            <w:tcW w:w="2139" w:type="dxa"/>
          </w:tcPr>
          <w:p w14:paraId="7212A284"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2</w:t>
            </w:r>
          </w:p>
        </w:tc>
        <w:tc>
          <w:tcPr>
            <w:tcW w:w="2287" w:type="dxa"/>
          </w:tcPr>
          <w:p w14:paraId="4FF18D79" w14:textId="77777777" w:rsidR="007902B6" w:rsidRPr="0056197A" w:rsidRDefault="007902B6" w:rsidP="008F326A">
            <w:pPr>
              <w:widowControl w:val="0"/>
              <w:spacing w:before="60" w:after="60" w:line="240" w:lineRule="auto"/>
              <w:jc w:val="center"/>
              <w:rPr>
                <w:rFonts w:eastAsia="Times New Roman" w:cs="Calibri"/>
                <w:szCs w:val="24"/>
                <w:lang w:val="en-US" w:eastAsia="de-DE"/>
              </w:rPr>
            </w:pPr>
            <w:r w:rsidRPr="0056197A">
              <w:rPr>
                <w:rFonts w:eastAsia="Times New Roman" w:cs="Calibri"/>
                <w:szCs w:val="24"/>
                <w:lang w:val="en-US" w:eastAsia="de-DE"/>
              </w:rPr>
              <w:t>3</w:t>
            </w:r>
          </w:p>
        </w:tc>
        <w:tc>
          <w:tcPr>
            <w:tcW w:w="2238" w:type="dxa"/>
          </w:tcPr>
          <w:p w14:paraId="116DF27E" w14:textId="51A9A3A9" w:rsidR="007902B6" w:rsidRPr="007309ED" w:rsidRDefault="007902B6" w:rsidP="008F326A">
            <w:pPr>
              <w:widowControl w:val="0"/>
              <w:spacing w:before="60" w:after="60" w:line="240" w:lineRule="auto"/>
              <w:jc w:val="center"/>
              <w:rPr>
                <w:rFonts w:eastAsia="Times New Roman" w:cs="Calibri"/>
                <w:szCs w:val="24"/>
                <w:lang w:val="en-US" w:eastAsia="de-DE"/>
              </w:rPr>
            </w:pPr>
            <w:r w:rsidRPr="007309ED">
              <w:rPr>
                <w:rFonts w:eastAsia="Times New Roman" w:cs="Calibri"/>
                <w:szCs w:val="24"/>
                <w:lang w:val="en-US" w:eastAsia="de-DE"/>
              </w:rPr>
              <w:t>1.000</w:t>
            </w:r>
          </w:p>
        </w:tc>
      </w:tr>
      <w:tr w:rsidR="007902B6" w:rsidRPr="009241AE" w14:paraId="2C6CF571" w14:textId="41FC8565" w:rsidTr="007902B6">
        <w:tc>
          <w:tcPr>
            <w:tcW w:w="2362" w:type="dxa"/>
          </w:tcPr>
          <w:p w14:paraId="5F351C53" w14:textId="77777777" w:rsidR="007902B6" w:rsidRPr="009241AE" w:rsidRDefault="007902B6" w:rsidP="008F326A">
            <w:pPr>
              <w:widowControl w:val="0"/>
              <w:spacing w:before="60" w:after="60" w:line="240" w:lineRule="auto"/>
              <w:rPr>
                <w:rFonts w:eastAsia="Times New Roman" w:cs="Calibri"/>
                <w:szCs w:val="24"/>
                <w:lang w:val="en-US" w:eastAsia="de-DE"/>
              </w:rPr>
            </w:pPr>
          </w:p>
        </w:tc>
        <w:tc>
          <w:tcPr>
            <w:tcW w:w="2139" w:type="dxa"/>
          </w:tcPr>
          <w:p w14:paraId="138C9850"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p>
        </w:tc>
        <w:tc>
          <w:tcPr>
            <w:tcW w:w="2287" w:type="dxa"/>
          </w:tcPr>
          <w:p w14:paraId="13BBF32E"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p>
        </w:tc>
        <w:tc>
          <w:tcPr>
            <w:tcW w:w="2238" w:type="dxa"/>
          </w:tcPr>
          <w:p w14:paraId="0F964152" w14:textId="77777777" w:rsidR="007902B6" w:rsidRPr="007309ED" w:rsidRDefault="007902B6" w:rsidP="008F326A">
            <w:pPr>
              <w:widowControl w:val="0"/>
              <w:spacing w:before="60" w:after="60" w:line="240" w:lineRule="auto"/>
              <w:jc w:val="center"/>
              <w:rPr>
                <w:rFonts w:eastAsia="Times New Roman" w:cs="Calibri"/>
                <w:szCs w:val="24"/>
                <w:lang w:val="en-US" w:eastAsia="de-DE"/>
              </w:rPr>
            </w:pPr>
          </w:p>
        </w:tc>
      </w:tr>
      <w:tr w:rsidR="007902B6" w:rsidRPr="009241AE" w14:paraId="61A2714B" w14:textId="1254A129" w:rsidTr="007902B6">
        <w:tc>
          <w:tcPr>
            <w:tcW w:w="2362" w:type="dxa"/>
          </w:tcPr>
          <w:p w14:paraId="6B10BFB2"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Hypertension, n</w:t>
            </w:r>
          </w:p>
        </w:tc>
        <w:tc>
          <w:tcPr>
            <w:tcW w:w="2139" w:type="dxa"/>
          </w:tcPr>
          <w:p w14:paraId="7C971316"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1</w:t>
            </w:r>
            <w:r>
              <w:rPr>
                <w:rFonts w:cs="Calibri"/>
                <w:szCs w:val="24"/>
                <w:lang w:val="en-US"/>
              </w:rPr>
              <w:t>2</w:t>
            </w:r>
          </w:p>
        </w:tc>
        <w:tc>
          <w:tcPr>
            <w:tcW w:w="2287" w:type="dxa"/>
          </w:tcPr>
          <w:p w14:paraId="4AC423E9"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15</w:t>
            </w:r>
          </w:p>
        </w:tc>
        <w:tc>
          <w:tcPr>
            <w:tcW w:w="2238" w:type="dxa"/>
          </w:tcPr>
          <w:p w14:paraId="53B7687A" w14:textId="113579E7" w:rsidR="007902B6" w:rsidRPr="007309ED" w:rsidRDefault="007902B6" w:rsidP="007902B6">
            <w:pPr>
              <w:widowControl w:val="0"/>
              <w:spacing w:before="60" w:after="60" w:line="240" w:lineRule="auto"/>
              <w:jc w:val="center"/>
              <w:rPr>
                <w:rFonts w:eastAsia="Times New Roman" w:cs="Calibri"/>
                <w:szCs w:val="24"/>
                <w:lang w:val="en-US" w:eastAsia="de-DE"/>
              </w:rPr>
            </w:pPr>
            <w:r w:rsidRPr="007309ED">
              <w:rPr>
                <w:rFonts w:eastAsia="Times New Roman" w:cs="Calibri"/>
                <w:szCs w:val="24"/>
                <w:lang w:val="en-US" w:eastAsia="de-DE"/>
              </w:rPr>
              <w:t>0.224</w:t>
            </w:r>
          </w:p>
        </w:tc>
      </w:tr>
      <w:tr w:rsidR="007902B6" w:rsidRPr="009241AE" w14:paraId="7DB798BF" w14:textId="3E2FEE35" w:rsidTr="007902B6">
        <w:tc>
          <w:tcPr>
            <w:tcW w:w="2362" w:type="dxa"/>
          </w:tcPr>
          <w:p w14:paraId="2FE1274F"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Diabetes, n</w:t>
            </w:r>
          </w:p>
        </w:tc>
        <w:tc>
          <w:tcPr>
            <w:tcW w:w="2139" w:type="dxa"/>
          </w:tcPr>
          <w:p w14:paraId="6BADCC1A"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2</w:t>
            </w:r>
          </w:p>
        </w:tc>
        <w:tc>
          <w:tcPr>
            <w:tcW w:w="2287" w:type="dxa"/>
          </w:tcPr>
          <w:p w14:paraId="057BE973"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5</w:t>
            </w:r>
          </w:p>
        </w:tc>
        <w:tc>
          <w:tcPr>
            <w:tcW w:w="2238" w:type="dxa"/>
          </w:tcPr>
          <w:p w14:paraId="4FD23195" w14:textId="186E1CBD" w:rsidR="007902B6" w:rsidRPr="007309ED" w:rsidRDefault="007902B6" w:rsidP="008F326A">
            <w:pPr>
              <w:widowControl w:val="0"/>
              <w:spacing w:before="60" w:after="60" w:line="240" w:lineRule="auto"/>
              <w:jc w:val="center"/>
              <w:rPr>
                <w:rFonts w:eastAsia="Times New Roman" w:cs="Calibri"/>
                <w:szCs w:val="24"/>
                <w:lang w:val="en-US" w:eastAsia="de-DE"/>
              </w:rPr>
            </w:pPr>
            <w:r w:rsidRPr="007309ED">
              <w:rPr>
                <w:rFonts w:eastAsia="Times New Roman" w:cs="Calibri"/>
                <w:szCs w:val="24"/>
                <w:lang w:val="en-US" w:eastAsia="de-DE"/>
              </w:rPr>
              <w:t>0.390</w:t>
            </w:r>
          </w:p>
        </w:tc>
      </w:tr>
      <w:tr w:rsidR="007902B6" w:rsidRPr="009241AE" w14:paraId="4AB9CCAF" w14:textId="4DC50229" w:rsidTr="007902B6">
        <w:tc>
          <w:tcPr>
            <w:tcW w:w="2362" w:type="dxa"/>
          </w:tcPr>
          <w:p w14:paraId="076BCB88"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Hyperlipidemia, n</w:t>
            </w:r>
          </w:p>
        </w:tc>
        <w:tc>
          <w:tcPr>
            <w:tcW w:w="2139" w:type="dxa"/>
          </w:tcPr>
          <w:p w14:paraId="4D6BC280"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8</w:t>
            </w:r>
          </w:p>
        </w:tc>
        <w:tc>
          <w:tcPr>
            <w:tcW w:w="2287" w:type="dxa"/>
          </w:tcPr>
          <w:p w14:paraId="3A1174C7"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6</w:t>
            </w:r>
          </w:p>
        </w:tc>
        <w:tc>
          <w:tcPr>
            <w:tcW w:w="2238" w:type="dxa"/>
          </w:tcPr>
          <w:p w14:paraId="19F0C15A" w14:textId="0DE369C5" w:rsidR="007902B6" w:rsidRPr="007309ED" w:rsidRDefault="007902B6" w:rsidP="008F326A">
            <w:pPr>
              <w:widowControl w:val="0"/>
              <w:spacing w:before="60" w:after="60" w:line="240" w:lineRule="auto"/>
              <w:jc w:val="center"/>
              <w:rPr>
                <w:rFonts w:eastAsia="Times New Roman" w:cs="Calibri"/>
                <w:szCs w:val="24"/>
                <w:lang w:val="en-US" w:eastAsia="de-DE"/>
              </w:rPr>
            </w:pPr>
            <w:r w:rsidRPr="007309ED">
              <w:rPr>
                <w:rFonts w:eastAsia="Times New Roman" w:cs="Calibri"/>
                <w:szCs w:val="24"/>
                <w:lang w:val="en-US" w:eastAsia="de-DE"/>
              </w:rPr>
              <w:t>0.715</w:t>
            </w:r>
          </w:p>
        </w:tc>
      </w:tr>
      <w:tr w:rsidR="007902B6" w:rsidRPr="009241AE" w14:paraId="791E357B" w14:textId="44366719" w:rsidTr="007902B6">
        <w:tc>
          <w:tcPr>
            <w:tcW w:w="2362" w:type="dxa"/>
          </w:tcPr>
          <w:p w14:paraId="54EE3FF9" w14:textId="77777777" w:rsidR="007902B6" w:rsidRPr="009241AE" w:rsidRDefault="007902B6" w:rsidP="008F326A">
            <w:pPr>
              <w:widowControl w:val="0"/>
              <w:spacing w:before="60" w:after="60" w:line="240" w:lineRule="auto"/>
              <w:rPr>
                <w:rFonts w:eastAsia="Times New Roman" w:cs="Calibri"/>
                <w:szCs w:val="24"/>
                <w:lang w:val="en-US" w:eastAsia="de-DE"/>
              </w:rPr>
            </w:pPr>
          </w:p>
        </w:tc>
        <w:tc>
          <w:tcPr>
            <w:tcW w:w="2139" w:type="dxa"/>
          </w:tcPr>
          <w:p w14:paraId="53190A99"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p>
        </w:tc>
        <w:tc>
          <w:tcPr>
            <w:tcW w:w="2287" w:type="dxa"/>
          </w:tcPr>
          <w:p w14:paraId="02B872F1"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p>
        </w:tc>
        <w:tc>
          <w:tcPr>
            <w:tcW w:w="2238" w:type="dxa"/>
          </w:tcPr>
          <w:p w14:paraId="761DF5E8" w14:textId="77777777" w:rsidR="007902B6" w:rsidRPr="007309ED" w:rsidRDefault="007902B6" w:rsidP="008F326A">
            <w:pPr>
              <w:widowControl w:val="0"/>
              <w:spacing w:before="60" w:after="60" w:line="240" w:lineRule="auto"/>
              <w:jc w:val="center"/>
              <w:rPr>
                <w:rFonts w:eastAsia="Times New Roman" w:cs="Calibri"/>
                <w:szCs w:val="24"/>
                <w:lang w:val="en-US" w:eastAsia="de-DE"/>
              </w:rPr>
            </w:pPr>
          </w:p>
        </w:tc>
      </w:tr>
      <w:tr w:rsidR="007902B6" w:rsidRPr="009241AE" w14:paraId="7A5B756E" w14:textId="766FBE96" w:rsidTr="007902B6">
        <w:tc>
          <w:tcPr>
            <w:tcW w:w="2362" w:type="dxa"/>
          </w:tcPr>
          <w:p w14:paraId="16F696CA"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LVEF, %</w:t>
            </w:r>
          </w:p>
        </w:tc>
        <w:tc>
          <w:tcPr>
            <w:tcW w:w="2139" w:type="dxa"/>
          </w:tcPr>
          <w:p w14:paraId="0D038B8B"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cs="Calibri"/>
                <w:szCs w:val="24"/>
                <w:lang w:val="en-US"/>
              </w:rPr>
              <w:t>52</w:t>
            </w:r>
            <w:r w:rsidRPr="009241AE">
              <w:rPr>
                <w:rFonts w:cs="Calibri"/>
                <w:szCs w:val="24"/>
                <w:lang w:val="en-US"/>
              </w:rPr>
              <w:t>.</w:t>
            </w:r>
            <w:r>
              <w:rPr>
                <w:rFonts w:cs="Calibri"/>
                <w:szCs w:val="24"/>
                <w:lang w:val="en-US"/>
              </w:rPr>
              <w:t>0</w:t>
            </w:r>
            <w:r w:rsidRPr="009241AE">
              <w:rPr>
                <w:rFonts w:cs="Calibri"/>
                <w:szCs w:val="24"/>
                <w:lang w:val="en-US"/>
              </w:rPr>
              <w:t xml:space="preserve"> </w:t>
            </w:r>
            <w:r w:rsidRPr="009241AE">
              <w:rPr>
                <w:rFonts w:ascii="Symbol" w:eastAsia="Symbol" w:hAnsi="Symbol" w:cs="Symbol"/>
                <w:szCs w:val="24"/>
                <w:lang w:val="en-US"/>
              </w:rPr>
              <w:t></w:t>
            </w:r>
            <w:r w:rsidRPr="009241AE">
              <w:rPr>
                <w:rFonts w:cs="Calibri"/>
                <w:szCs w:val="24"/>
                <w:lang w:val="en-US"/>
              </w:rPr>
              <w:t xml:space="preserve"> </w:t>
            </w:r>
            <w:r>
              <w:rPr>
                <w:rFonts w:cs="Calibri"/>
                <w:szCs w:val="24"/>
                <w:lang w:val="en-US"/>
              </w:rPr>
              <w:t>4</w:t>
            </w:r>
            <w:r w:rsidRPr="009241AE">
              <w:rPr>
                <w:rFonts w:cs="Calibri"/>
                <w:szCs w:val="24"/>
                <w:lang w:val="en-US"/>
              </w:rPr>
              <w:t>.</w:t>
            </w:r>
            <w:r>
              <w:rPr>
                <w:rFonts w:cs="Calibri"/>
                <w:szCs w:val="24"/>
                <w:lang w:val="en-US"/>
              </w:rPr>
              <w:t>3</w:t>
            </w:r>
          </w:p>
        </w:tc>
        <w:tc>
          <w:tcPr>
            <w:tcW w:w="2287" w:type="dxa"/>
          </w:tcPr>
          <w:p w14:paraId="5C0D03E6"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51.</w:t>
            </w:r>
            <w:r>
              <w:rPr>
                <w:rFonts w:cs="Calibri"/>
                <w:szCs w:val="24"/>
                <w:lang w:val="en-US"/>
              </w:rPr>
              <w:t>6</w:t>
            </w:r>
            <w:r w:rsidRPr="009241AE">
              <w:rPr>
                <w:rFonts w:cs="Calibri"/>
                <w:szCs w:val="24"/>
                <w:lang w:val="en-US"/>
              </w:rPr>
              <w:t xml:space="preserve"> </w:t>
            </w:r>
            <w:r w:rsidRPr="009241AE">
              <w:rPr>
                <w:rFonts w:ascii="Symbol" w:eastAsia="Symbol" w:hAnsi="Symbol" w:cs="Symbol"/>
                <w:szCs w:val="24"/>
                <w:lang w:val="en-US"/>
              </w:rPr>
              <w:t></w:t>
            </w:r>
            <w:r w:rsidRPr="009241AE">
              <w:rPr>
                <w:rFonts w:cs="Calibri"/>
                <w:szCs w:val="24"/>
                <w:lang w:val="en-US"/>
              </w:rPr>
              <w:t xml:space="preserve"> 2.</w:t>
            </w:r>
            <w:r>
              <w:rPr>
                <w:rFonts w:cs="Calibri"/>
                <w:szCs w:val="24"/>
                <w:lang w:val="en-US"/>
              </w:rPr>
              <w:t>9</w:t>
            </w:r>
          </w:p>
        </w:tc>
        <w:tc>
          <w:tcPr>
            <w:tcW w:w="2238" w:type="dxa"/>
          </w:tcPr>
          <w:p w14:paraId="37EF83B1" w14:textId="0DA90436" w:rsidR="007902B6" w:rsidRPr="007309ED" w:rsidRDefault="002521E4" w:rsidP="008F326A">
            <w:pPr>
              <w:widowControl w:val="0"/>
              <w:spacing w:before="60" w:after="60" w:line="240" w:lineRule="auto"/>
              <w:jc w:val="center"/>
              <w:rPr>
                <w:rFonts w:cs="Calibri"/>
                <w:szCs w:val="24"/>
                <w:lang w:val="en-US"/>
              </w:rPr>
            </w:pPr>
            <w:r w:rsidRPr="007309ED">
              <w:rPr>
                <w:rFonts w:cs="Calibri"/>
                <w:szCs w:val="24"/>
                <w:lang w:val="en-US"/>
              </w:rPr>
              <w:t>0.939</w:t>
            </w:r>
          </w:p>
        </w:tc>
      </w:tr>
      <w:tr w:rsidR="007902B6" w:rsidRPr="009241AE" w14:paraId="04678E5D" w14:textId="7A9BF93C" w:rsidTr="007902B6">
        <w:tc>
          <w:tcPr>
            <w:tcW w:w="2362" w:type="dxa"/>
          </w:tcPr>
          <w:p w14:paraId="21B4E5DD" w14:textId="77777777" w:rsidR="007902B6" w:rsidRPr="009241AE" w:rsidRDefault="007902B6" w:rsidP="008F326A">
            <w:pPr>
              <w:widowControl w:val="0"/>
              <w:spacing w:before="60" w:after="60" w:line="240" w:lineRule="auto"/>
              <w:rPr>
                <w:rFonts w:eastAsia="Times New Roman" w:cs="Calibri"/>
                <w:szCs w:val="24"/>
                <w:lang w:val="en-US" w:eastAsia="de-DE"/>
              </w:rPr>
            </w:pPr>
          </w:p>
        </w:tc>
        <w:tc>
          <w:tcPr>
            <w:tcW w:w="2139" w:type="dxa"/>
          </w:tcPr>
          <w:p w14:paraId="33E30E27"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p>
        </w:tc>
        <w:tc>
          <w:tcPr>
            <w:tcW w:w="2287" w:type="dxa"/>
          </w:tcPr>
          <w:p w14:paraId="28A2B0DB"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p>
        </w:tc>
        <w:tc>
          <w:tcPr>
            <w:tcW w:w="2238" w:type="dxa"/>
          </w:tcPr>
          <w:p w14:paraId="4CB56E21" w14:textId="77777777" w:rsidR="007902B6" w:rsidRPr="007309ED" w:rsidRDefault="007902B6" w:rsidP="008F326A">
            <w:pPr>
              <w:widowControl w:val="0"/>
              <w:spacing w:before="60" w:after="60" w:line="240" w:lineRule="auto"/>
              <w:jc w:val="center"/>
              <w:rPr>
                <w:rFonts w:eastAsia="Times New Roman" w:cs="Calibri"/>
                <w:szCs w:val="24"/>
                <w:lang w:val="en-US" w:eastAsia="de-DE"/>
              </w:rPr>
            </w:pPr>
          </w:p>
        </w:tc>
      </w:tr>
      <w:tr w:rsidR="007902B6" w:rsidRPr="009241AE" w14:paraId="16DDD4C5" w14:textId="674EC13A" w:rsidTr="007902B6">
        <w:tc>
          <w:tcPr>
            <w:tcW w:w="2362" w:type="dxa"/>
          </w:tcPr>
          <w:p w14:paraId="13CD403B"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Digitalis, n</w:t>
            </w:r>
          </w:p>
        </w:tc>
        <w:tc>
          <w:tcPr>
            <w:tcW w:w="2139" w:type="dxa"/>
          </w:tcPr>
          <w:p w14:paraId="4425E4FC"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0</w:t>
            </w:r>
          </w:p>
        </w:tc>
        <w:tc>
          <w:tcPr>
            <w:tcW w:w="2287" w:type="dxa"/>
          </w:tcPr>
          <w:p w14:paraId="7CCE714F"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4</w:t>
            </w:r>
          </w:p>
        </w:tc>
        <w:tc>
          <w:tcPr>
            <w:tcW w:w="2238" w:type="dxa"/>
          </w:tcPr>
          <w:p w14:paraId="5357B4B9" w14:textId="055E5F32" w:rsidR="007902B6" w:rsidRPr="007309ED" w:rsidRDefault="007902B6" w:rsidP="008F326A">
            <w:pPr>
              <w:widowControl w:val="0"/>
              <w:spacing w:before="60" w:after="60" w:line="240" w:lineRule="auto"/>
              <w:jc w:val="center"/>
              <w:rPr>
                <w:rFonts w:eastAsia="Times New Roman" w:cs="Calibri"/>
                <w:szCs w:val="24"/>
                <w:lang w:val="en-US" w:eastAsia="de-DE"/>
              </w:rPr>
            </w:pPr>
            <w:r w:rsidRPr="007309ED">
              <w:rPr>
                <w:rFonts w:eastAsia="Times New Roman" w:cs="Calibri"/>
                <w:szCs w:val="24"/>
                <w:lang w:val="en-US" w:eastAsia="de-DE"/>
              </w:rPr>
              <w:t>0.100</w:t>
            </w:r>
          </w:p>
        </w:tc>
      </w:tr>
      <w:tr w:rsidR="007902B6" w:rsidRPr="009241AE" w14:paraId="72EFAEF3" w14:textId="66BCF133" w:rsidTr="007902B6">
        <w:tc>
          <w:tcPr>
            <w:tcW w:w="2362" w:type="dxa"/>
          </w:tcPr>
          <w:p w14:paraId="573840CA"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ACE inhibitors, n</w:t>
            </w:r>
          </w:p>
        </w:tc>
        <w:tc>
          <w:tcPr>
            <w:tcW w:w="2139" w:type="dxa"/>
          </w:tcPr>
          <w:p w14:paraId="241A5A34"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7</w:t>
            </w:r>
          </w:p>
        </w:tc>
        <w:tc>
          <w:tcPr>
            <w:tcW w:w="2287" w:type="dxa"/>
          </w:tcPr>
          <w:p w14:paraId="2203480C"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7</w:t>
            </w:r>
          </w:p>
        </w:tc>
        <w:tc>
          <w:tcPr>
            <w:tcW w:w="2238" w:type="dxa"/>
          </w:tcPr>
          <w:p w14:paraId="797E231E" w14:textId="0D760AE2" w:rsidR="007902B6" w:rsidRPr="007309ED" w:rsidRDefault="007902B6" w:rsidP="008F326A">
            <w:pPr>
              <w:widowControl w:val="0"/>
              <w:spacing w:before="60" w:after="60" w:line="240" w:lineRule="auto"/>
              <w:jc w:val="center"/>
              <w:rPr>
                <w:rFonts w:cs="Calibri"/>
                <w:szCs w:val="24"/>
                <w:lang w:val="en-US"/>
              </w:rPr>
            </w:pPr>
            <w:r w:rsidRPr="007309ED">
              <w:rPr>
                <w:rFonts w:cs="Calibri"/>
                <w:szCs w:val="24"/>
                <w:lang w:val="en-US"/>
              </w:rPr>
              <w:t>1.000</w:t>
            </w:r>
          </w:p>
        </w:tc>
      </w:tr>
      <w:tr w:rsidR="007902B6" w:rsidRPr="009241AE" w14:paraId="3C3CA43A" w14:textId="77161DD2" w:rsidTr="007902B6">
        <w:tc>
          <w:tcPr>
            <w:tcW w:w="2362" w:type="dxa"/>
          </w:tcPr>
          <w:p w14:paraId="7017A220"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AT1 blockers, n</w:t>
            </w:r>
          </w:p>
        </w:tc>
        <w:tc>
          <w:tcPr>
            <w:tcW w:w="2139" w:type="dxa"/>
          </w:tcPr>
          <w:p w14:paraId="55B39D96"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2</w:t>
            </w:r>
          </w:p>
        </w:tc>
        <w:tc>
          <w:tcPr>
            <w:tcW w:w="2287" w:type="dxa"/>
          </w:tcPr>
          <w:p w14:paraId="66B155FC"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4</w:t>
            </w:r>
          </w:p>
        </w:tc>
        <w:tc>
          <w:tcPr>
            <w:tcW w:w="2238" w:type="dxa"/>
          </w:tcPr>
          <w:p w14:paraId="2682FF18" w14:textId="007430E5" w:rsidR="007902B6" w:rsidRPr="007309ED" w:rsidRDefault="007902B6" w:rsidP="008F326A">
            <w:pPr>
              <w:widowControl w:val="0"/>
              <w:spacing w:before="60" w:after="60" w:line="240" w:lineRule="auto"/>
              <w:jc w:val="center"/>
              <w:rPr>
                <w:rFonts w:eastAsia="Times New Roman" w:cs="Calibri"/>
                <w:szCs w:val="24"/>
                <w:lang w:val="en-US" w:eastAsia="de-DE"/>
              </w:rPr>
            </w:pPr>
            <w:r w:rsidRPr="007309ED">
              <w:rPr>
                <w:rFonts w:eastAsia="Times New Roman" w:cs="Calibri"/>
                <w:szCs w:val="24"/>
                <w:lang w:val="en-US" w:eastAsia="de-DE"/>
              </w:rPr>
              <w:t>0.651</w:t>
            </w:r>
          </w:p>
        </w:tc>
      </w:tr>
      <w:tr w:rsidR="007902B6" w:rsidRPr="009241AE" w14:paraId="7DBFEB9A" w14:textId="0A8114AA" w:rsidTr="007902B6">
        <w:tc>
          <w:tcPr>
            <w:tcW w:w="2362" w:type="dxa"/>
          </w:tcPr>
          <w:p w14:paraId="7D750C53"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ascii="Symbol" w:eastAsia="Symbol" w:hAnsi="Symbol" w:cs="Symbol"/>
                <w:szCs w:val="24"/>
                <w:lang w:val="en-US" w:eastAsia="de-DE"/>
              </w:rPr>
              <w:t></w:t>
            </w:r>
            <w:r w:rsidRPr="009241AE">
              <w:rPr>
                <w:rFonts w:eastAsia="Times New Roman" w:cs="Calibri"/>
                <w:szCs w:val="24"/>
                <w:lang w:val="en-US" w:eastAsia="de-DE"/>
              </w:rPr>
              <w:t>-Blockers, n</w:t>
            </w:r>
          </w:p>
        </w:tc>
        <w:tc>
          <w:tcPr>
            <w:tcW w:w="2139" w:type="dxa"/>
          </w:tcPr>
          <w:p w14:paraId="0E66C264"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1</w:t>
            </w:r>
            <w:r>
              <w:rPr>
                <w:rFonts w:cs="Calibri"/>
                <w:szCs w:val="24"/>
                <w:lang w:val="en-US"/>
              </w:rPr>
              <w:t>0</w:t>
            </w:r>
          </w:p>
        </w:tc>
        <w:tc>
          <w:tcPr>
            <w:tcW w:w="2287" w:type="dxa"/>
          </w:tcPr>
          <w:p w14:paraId="173C4215"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1</w:t>
            </w:r>
            <w:r>
              <w:rPr>
                <w:rFonts w:cs="Calibri"/>
                <w:szCs w:val="24"/>
                <w:lang w:val="en-US"/>
              </w:rPr>
              <w:t>4</w:t>
            </w:r>
          </w:p>
        </w:tc>
        <w:tc>
          <w:tcPr>
            <w:tcW w:w="2238" w:type="dxa"/>
          </w:tcPr>
          <w:p w14:paraId="1502622D" w14:textId="65FD5A5B" w:rsidR="007902B6" w:rsidRPr="007309ED" w:rsidRDefault="007902B6" w:rsidP="008F326A">
            <w:pPr>
              <w:widowControl w:val="0"/>
              <w:spacing w:before="60" w:after="60" w:line="240" w:lineRule="auto"/>
              <w:jc w:val="center"/>
              <w:rPr>
                <w:rFonts w:cs="Calibri"/>
                <w:szCs w:val="24"/>
                <w:lang w:val="en-US"/>
              </w:rPr>
            </w:pPr>
            <w:r w:rsidRPr="007309ED">
              <w:rPr>
                <w:rFonts w:cs="Calibri"/>
                <w:szCs w:val="24"/>
                <w:lang w:val="en-US"/>
              </w:rPr>
              <w:t>0.390</w:t>
            </w:r>
          </w:p>
        </w:tc>
      </w:tr>
      <w:tr w:rsidR="007902B6" w:rsidRPr="009241AE" w14:paraId="5679084B" w14:textId="177D1677" w:rsidTr="007902B6">
        <w:tc>
          <w:tcPr>
            <w:tcW w:w="2362" w:type="dxa"/>
          </w:tcPr>
          <w:p w14:paraId="46BE7A31"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Dihydropyridines, n</w:t>
            </w:r>
          </w:p>
        </w:tc>
        <w:tc>
          <w:tcPr>
            <w:tcW w:w="2139" w:type="dxa"/>
          </w:tcPr>
          <w:p w14:paraId="14627E66"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5</w:t>
            </w:r>
          </w:p>
        </w:tc>
        <w:tc>
          <w:tcPr>
            <w:tcW w:w="2287" w:type="dxa"/>
          </w:tcPr>
          <w:p w14:paraId="2197C54E"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2</w:t>
            </w:r>
          </w:p>
        </w:tc>
        <w:tc>
          <w:tcPr>
            <w:tcW w:w="2238" w:type="dxa"/>
          </w:tcPr>
          <w:p w14:paraId="34D39CF6" w14:textId="6AFDFE36" w:rsidR="007902B6" w:rsidRPr="007309ED" w:rsidRDefault="007902B6" w:rsidP="008F326A">
            <w:pPr>
              <w:widowControl w:val="0"/>
              <w:spacing w:before="60" w:after="60" w:line="240" w:lineRule="auto"/>
              <w:jc w:val="center"/>
              <w:rPr>
                <w:rFonts w:eastAsia="Times New Roman" w:cs="Calibri"/>
                <w:szCs w:val="24"/>
                <w:lang w:val="en-US" w:eastAsia="de-DE"/>
              </w:rPr>
            </w:pPr>
            <w:r w:rsidRPr="007309ED">
              <w:rPr>
                <w:rFonts w:eastAsia="Times New Roman" w:cs="Calibri"/>
                <w:szCs w:val="24"/>
                <w:lang w:val="en-US" w:eastAsia="de-DE"/>
              </w:rPr>
              <w:t>0.390</w:t>
            </w:r>
          </w:p>
        </w:tc>
      </w:tr>
      <w:tr w:rsidR="007902B6" w:rsidRPr="009241AE" w14:paraId="20F17852" w14:textId="35395904" w:rsidTr="007902B6">
        <w:tc>
          <w:tcPr>
            <w:tcW w:w="2362" w:type="dxa"/>
          </w:tcPr>
          <w:p w14:paraId="7C3FFF9B"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Diuretics, n</w:t>
            </w:r>
          </w:p>
        </w:tc>
        <w:tc>
          <w:tcPr>
            <w:tcW w:w="2139" w:type="dxa"/>
          </w:tcPr>
          <w:p w14:paraId="3E3DDFC2"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2</w:t>
            </w:r>
          </w:p>
        </w:tc>
        <w:tc>
          <w:tcPr>
            <w:tcW w:w="2287" w:type="dxa"/>
          </w:tcPr>
          <w:p w14:paraId="66BDF874"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5</w:t>
            </w:r>
          </w:p>
        </w:tc>
        <w:tc>
          <w:tcPr>
            <w:tcW w:w="2238" w:type="dxa"/>
          </w:tcPr>
          <w:p w14:paraId="7418CB83" w14:textId="63E4897F" w:rsidR="007902B6" w:rsidRPr="007309ED" w:rsidRDefault="007902B6" w:rsidP="008F326A">
            <w:pPr>
              <w:widowControl w:val="0"/>
              <w:spacing w:before="60" w:after="60" w:line="240" w:lineRule="auto"/>
              <w:jc w:val="center"/>
              <w:rPr>
                <w:rFonts w:eastAsia="Times New Roman" w:cs="Calibri"/>
                <w:szCs w:val="24"/>
                <w:lang w:val="en-US" w:eastAsia="de-DE"/>
              </w:rPr>
            </w:pPr>
            <w:r w:rsidRPr="007309ED">
              <w:rPr>
                <w:rFonts w:eastAsia="Times New Roman" w:cs="Calibri"/>
                <w:szCs w:val="24"/>
                <w:lang w:val="en-US" w:eastAsia="de-DE"/>
              </w:rPr>
              <w:t>0.390</w:t>
            </w:r>
          </w:p>
        </w:tc>
      </w:tr>
      <w:tr w:rsidR="007902B6" w:rsidRPr="009241AE" w14:paraId="31BBE194" w14:textId="7644515B" w:rsidTr="007902B6">
        <w:tc>
          <w:tcPr>
            <w:tcW w:w="2362" w:type="dxa"/>
            <w:tcBorders>
              <w:bottom w:val="none" w:sz="4" w:space="0" w:color="000000"/>
            </w:tcBorders>
          </w:tcPr>
          <w:p w14:paraId="6AA1B721"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Nitrates, n</w:t>
            </w:r>
          </w:p>
        </w:tc>
        <w:tc>
          <w:tcPr>
            <w:tcW w:w="2139" w:type="dxa"/>
            <w:tcBorders>
              <w:bottom w:val="none" w:sz="4" w:space="0" w:color="000000"/>
            </w:tcBorders>
          </w:tcPr>
          <w:p w14:paraId="58FB68EB"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1</w:t>
            </w:r>
          </w:p>
        </w:tc>
        <w:tc>
          <w:tcPr>
            <w:tcW w:w="2287" w:type="dxa"/>
            <w:tcBorders>
              <w:bottom w:val="none" w:sz="4" w:space="0" w:color="000000"/>
            </w:tcBorders>
          </w:tcPr>
          <w:p w14:paraId="3FF4E9D8"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0</w:t>
            </w:r>
          </w:p>
        </w:tc>
        <w:tc>
          <w:tcPr>
            <w:tcW w:w="2238" w:type="dxa"/>
            <w:tcBorders>
              <w:bottom w:val="none" w:sz="4" w:space="0" w:color="000000"/>
            </w:tcBorders>
          </w:tcPr>
          <w:p w14:paraId="35F1F823" w14:textId="207528FA" w:rsidR="007902B6" w:rsidRPr="007309ED" w:rsidRDefault="007902B6" w:rsidP="008F326A">
            <w:pPr>
              <w:widowControl w:val="0"/>
              <w:spacing w:before="60" w:after="60" w:line="240" w:lineRule="auto"/>
              <w:jc w:val="center"/>
              <w:rPr>
                <w:rFonts w:eastAsia="Times New Roman" w:cs="Calibri"/>
                <w:szCs w:val="24"/>
                <w:lang w:val="en-US" w:eastAsia="de-DE"/>
              </w:rPr>
            </w:pPr>
            <w:r w:rsidRPr="007309ED">
              <w:rPr>
                <w:rFonts w:eastAsia="Times New Roman" w:cs="Calibri"/>
                <w:szCs w:val="24"/>
                <w:lang w:val="en-US" w:eastAsia="de-DE"/>
              </w:rPr>
              <w:t>1.000</w:t>
            </w:r>
          </w:p>
        </w:tc>
      </w:tr>
      <w:tr w:rsidR="007902B6" w:rsidRPr="009241AE" w14:paraId="03EEB93B" w14:textId="1EC915BB" w:rsidTr="007902B6">
        <w:tc>
          <w:tcPr>
            <w:tcW w:w="2362" w:type="dxa"/>
            <w:tcBorders>
              <w:top w:val="none" w:sz="4" w:space="0" w:color="000000"/>
              <w:bottom w:val="single" w:sz="12" w:space="0" w:color="000000"/>
            </w:tcBorders>
          </w:tcPr>
          <w:p w14:paraId="0FC9CA01" w14:textId="77777777" w:rsidR="007902B6" w:rsidRPr="009241AE" w:rsidRDefault="007902B6" w:rsidP="008F326A">
            <w:pPr>
              <w:widowControl w:val="0"/>
              <w:spacing w:before="60" w:after="60" w:line="240" w:lineRule="auto"/>
              <w:rPr>
                <w:rFonts w:eastAsia="Times New Roman" w:cs="Calibri"/>
                <w:szCs w:val="24"/>
                <w:lang w:val="en-US" w:eastAsia="de-DE"/>
              </w:rPr>
            </w:pPr>
            <w:r w:rsidRPr="009241AE">
              <w:rPr>
                <w:rFonts w:eastAsia="Times New Roman" w:cs="Calibri"/>
                <w:szCs w:val="24"/>
                <w:lang w:val="en-US" w:eastAsia="de-DE"/>
              </w:rPr>
              <w:t>Lipid-lowering drugs, n</w:t>
            </w:r>
          </w:p>
        </w:tc>
        <w:tc>
          <w:tcPr>
            <w:tcW w:w="2139" w:type="dxa"/>
            <w:tcBorders>
              <w:top w:val="none" w:sz="4" w:space="0" w:color="000000"/>
              <w:bottom w:val="single" w:sz="12" w:space="0" w:color="000000"/>
            </w:tcBorders>
          </w:tcPr>
          <w:p w14:paraId="4B5736AB"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sidRPr="009241AE">
              <w:rPr>
                <w:rFonts w:cs="Calibri"/>
                <w:szCs w:val="24"/>
                <w:lang w:val="en-US"/>
              </w:rPr>
              <w:t>1</w:t>
            </w:r>
            <w:r>
              <w:rPr>
                <w:rFonts w:cs="Calibri"/>
                <w:szCs w:val="24"/>
                <w:lang w:val="en-US"/>
              </w:rPr>
              <w:t>2</w:t>
            </w:r>
          </w:p>
        </w:tc>
        <w:tc>
          <w:tcPr>
            <w:tcW w:w="2287" w:type="dxa"/>
            <w:tcBorders>
              <w:top w:val="none" w:sz="4" w:space="0" w:color="000000"/>
              <w:bottom w:val="single" w:sz="12" w:space="0" w:color="000000"/>
            </w:tcBorders>
          </w:tcPr>
          <w:p w14:paraId="6BD921B3" w14:textId="77777777" w:rsidR="007902B6" w:rsidRPr="009241AE" w:rsidRDefault="007902B6" w:rsidP="008F326A">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12</w:t>
            </w:r>
          </w:p>
        </w:tc>
        <w:tc>
          <w:tcPr>
            <w:tcW w:w="2238" w:type="dxa"/>
            <w:tcBorders>
              <w:top w:val="none" w:sz="4" w:space="0" w:color="000000"/>
              <w:bottom w:val="single" w:sz="12" w:space="0" w:color="000000"/>
            </w:tcBorders>
          </w:tcPr>
          <w:p w14:paraId="2353778F" w14:textId="179D5E2D" w:rsidR="007902B6" w:rsidRPr="007309ED" w:rsidRDefault="007902B6" w:rsidP="008F326A">
            <w:pPr>
              <w:widowControl w:val="0"/>
              <w:spacing w:before="60" w:after="60" w:line="240" w:lineRule="auto"/>
              <w:jc w:val="center"/>
              <w:rPr>
                <w:rFonts w:eastAsia="Times New Roman" w:cs="Calibri"/>
                <w:szCs w:val="24"/>
                <w:lang w:val="en-US" w:eastAsia="de-DE"/>
              </w:rPr>
            </w:pPr>
            <w:r w:rsidRPr="007309ED">
              <w:rPr>
                <w:rFonts w:eastAsia="Times New Roman" w:cs="Calibri"/>
                <w:szCs w:val="24"/>
                <w:lang w:val="en-US" w:eastAsia="de-DE"/>
              </w:rPr>
              <w:t>1.000</w:t>
            </w:r>
          </w:p>
        </w:tc>
      </w:tr>
    </w:tbl>
    <w:p w14:paraId="00A59DC5" w14:textId="78AE3CF0" w:rsidR="006264FB" w:rsidRPr="00365695" w:rsidRDefault="006264FB" w:rsidP="004A4E01">
      <w:pPr>
        <w:spacing w:after="0" w:line="240" w:lineRule="auto"/>
        <w:rPr>
          <w:lang w:val="en-US"/>
        </w:rPr>
      </w:pPr>
      <w:bookmarkStart w:id="18" w:name="_Toc132805182"/>
      <w:r w:rsidRPr="009241AE">
        <w:rPr>
          <w:lang w:val="en-US"/>
        </w:rPr>
        <w:t xml:space="preserve">ACE, angiotensin-converting enzyme; AT, angiotensin receptor; CAD, coronary artery disease; LVEF, left ventricular ejection fraction; MVD/AVD, mitral/aortic valve disease. Continuous data are expressed as mean </w:t>
      </w:r>
      <w:r w:rsidRPr="009241AE">
        <w:rPr>
          <w:rFonts w:ascii="Symbol" w:eastAsia="Symbol" w:hAnsi="Symbol" w:cs="Symbol"/>
          <w:lang w:val="en-US"/>
        </w:rPr>
        <w:t></w:t>
      </w:r>
      <w:r w:rsidRPr="009241AE">
        <w:rPr>
          <w:lang w:val="en-US"/>
        </w:rPr>
        <w:t xml:space="preserve"> S</w:t>
      </w:r>
      <w:r>
        <w:rPr>
          <w:lang w:val="en-US"/>
        </w:rPr>
        <w:t>EM</w:t>
      </w:r>
      <w:r w:rsidRPr="009241AE">
        <w:rPr>
          <w:lang w:val="en-US"/>
        </w:rPr>
        <w:t>.</w:t>
      </w:r>
      <w:bookmarkEnd w:id="18"/>
      <w:r w:rsidRPr="009241AE">
        <w:rPr>
          <w:lang w:val="en-US"/>
        </w:rPr>
        <w:t xml:space="preserve"> C</w:t>
      </w:r>
      <w:r>
        <w:rPr>
          <w:lang w:val="en-US"/>
        </w:rPr>
        <w:t xml:space="preserve">omparison was made using </w:t>
      </w:r>
      <w:r w:rsidRPr="00365695">
        <w:rPr>
          <w:lang w:val="en-US"/>
        </w:rPr>
        <w:t>Student’s t-test</w:t>
      </w:r>
      <w:r w:rsidRPr="009241AE">
        <w:rPr>
          <w:lang w:val="en-US"/>
        </w:rPr>
        <w:t xml:space="preserve"> and Fisher’s exact test for continuous and categorical data, respectivel</w:t>
      </w:r>
      <w:r>
        <w:rPr>
          <w:lang w:val="en-US"/>
        </w:rPr>
        <w:t>y.</w:t>
      </w:r>
      <w:r>
        <w:rPr>
          <w:lang w:val="en-US"/>
        </w:rPr>
        <w:br w:type="page"/>
      </w:r>
    </w:p>
    <w:p w14:paraId="7B2C44BA" w14:textId="07F55B15" w:rsidR="00B747AE" w:rsidRPr="00203EE4" w:rsidRDefault="00834FDE" w:rsidP="00D71957">
      <w:pPr>
        <w:pageBreakBefore/>
        <w:spacing w:after="0"/>
        <w:rPr>
          <w:b/>
          <w:bCs/>
          <w:color w:val="000000" w:themeColor="text1"/>
          <w:sz w:val="24"/>
          <w:szCs w:val="24"/>
          <w:lang w:val="en-US"/>
        </w:rPr>
      </w:pPr>
      <w:r w:rsidRPr="007309ED">
        <w:rPr>
          <w:b/>
          <w:bCs/>
          <w:color w:val="000000" w:themeColor="text1"/>
          <w:sz w:val="24"/>
          <w:szCs w:val="24"/>
          <w:lang w:val="en-US"/>
        </w:rPr>
        <w:lastRenderedPageBreak/>
        <w:t>Table S</w:t>
      </w:r>
      <w:r w:rsidRPr="001127A1">
        <w:rPr>
          <w:b/>
          <w:bCs/>
          <w:color w:val="000000" w:themeColor="text1"/>
          <w:sz w:val="24"/>
          <w:szCs w:val="24"/>
          <w:lang w:val="en-US"/>
        </w:rPr>
        <w:t>4</w:t>
      </w:r>
      <w:r w:rsidR="00B747AE" w:rsidRPr="007309ED">
        <w:rPr>
          <w:b/>
          <w:bCs/>
          <w:color w:val="000000" w:themeColor="text1"/>
          <w:sz w:val="24"/>
          <w:szCs w:val="24"/>
          <w:lang w:val="en-US"/>
        </w:rPr>
        <w:t>. Characteristics of patients involved in immunoblot analysis</w:t>
      </w:r>
    </w:p>
    <w:tbl>
      <w:tblPr>
        <w:tblW w:w="9026" w:type="dxa"/>
        <w:tblBorders>
          <w:top w:val="single" w:sz="12" w:space="0" w:color="008000"/>
          <w:bottom w:val="single" w:sz="12" w:space="0" w:color="008000"/>
        </w:tblBorders>
        <w:tblLook w:val="00A0" w:firstRow="1" w:lastRow="0" w:firstColumn="1" w:lastColumn="0" w:noHBand="0" w:noVBand="0"/>
      </w:tblPr>
      <w:tblGrid>
        <w:gridCol w:w="2362"/>
        <w:gridCol w:w="2139"/>
        <w:gridCol w:w="2287"/>
        <w:gridCol w:w="2238"/>
      </w:tblGrid>
      <w:tr w:rsidR="00B747AE" w:rsidRPr="009241AE" w14:paraId="0BCEF3F3" w14:textId="77777777" w:rsidTr="009145C2">
        <w:tc>
          <w:tcPr>
            <w:tcW w:w="2362" w:type="dxa"/>
            <w:tcBorders>
              <w:top w:val="single" w:sz="12" w:space="0" w:color="auto"/>
              <w:bottom w:val="nil"/>
            </w:tcBorders>
          </w:tcPr>
          <w:p w14:paraId="6C559F1F" w14:textId="77777777" w:rsidR="00B747AE" w:rsidRPr="007309ED" w:rsidRDefault="00B747AE" w:rsidP="00D71957">
            <w:pPr>
              <w:widowControl w:val="0"/>
              <w:spacing w:before="60" w:after="60" w:line="240" w:lineRule="auto"/>
              <w:rPr>
                <w:rFonts w:eastAsia="Times New Roman" w:cs="Calibri"/>
                <w:szCs w:val="24"/>
                <w:lang w:val="en-US" w:eastAsia="de-DE"/>
              </w:rPr>
            </w:pPr>
          </w:p>
        </w:tc>
        <w:tc>
          <w:tcPr>
            <w:tcW w:w="2139" w:type="dxa"/>
            <w:tcBorders>
              <w:top w:val="single" w:sz="12" w:space="0" w:color="auto"/>
              <w:bottom w:val="nil"/>
            </w:tcBorders>
          </w:tcPr>
          <w:p w14:paraId="2BC6611F" w14:textId="77777777" w:rsidR="00B747AE" w:rsidRPr="007309ED" w:rsidRDefault="00B747AE" w:rsidP="00D71957">
            <w:pPr>
              <w:widowControl w:val="0"/>
              <w:spacing w:before="60" w:after="60" w:line="240" w:lineRule="auto"/>
              <w:jc w:val="center"/>
              <w:rPr>
                <w:rFonts w:eastAsia="Times New Roman" w:cs="Calibri"/>
                <w:b/>
                <w:szCs w:val="24"/>
                <w:lang w:val="en-US" w:eastAsia="de-DE"/>
              </w:rPr>
            </w:pPr>
            <w:r w:rsidRPr="007309ED">
              <w:rPr>
                <w:rFonts w:eastAsia="Times New Roman" w:cs="Calibri"/>
                <w:b/>
                <w:szCs w:val="24"/>
                <w:lang w:val="en-US" w:eastAsia="de-DE"/>
              </w:rPr>
              <w:t>Ctrl</w:t>
            </w:r>
          </w:p>
        </w:tc>
        <w:tc>
          <w:tcPr>
            <w:tcW w:w="2287" w:type="dxa"/>
            <w:tcBorders>
              <w:top w:val="single" w:sz="12" w:space="0" w:color="auto"/>
              <w:bottom w:val="nil"/>
            </w:tcBorders>
          </w:tcPr>
          <w:p w14:paraId="7488BBA6" w14:textId="77777777" w:rsidR="00B747AE" w:rsidRPr="007309ED" w:rsidRDefault="00B747AE" w:rsidP="00D71957">
            <w:pPr>
              <w:widowControl w:val="0"/>
              <w:spacing w:before="60" w:after="60" w:line="240" w:lineRule="auto"/>
              <w:jc w:val="center"/>
              <w:rPr>
                <w:rFonts w:eastAsia="Times New Roman" w:cs="Calibri"/>
                <w:b/>
                <w:szCs w:val="24"/>
                <w:lang w:val="en-US" w:eastAsia="de-DE"/>
              </w:rPr>
            </w:pPr>
            <w:proofErr w:type="spellStart"/>
            <w:r w:rsidRPr="007309ED">
              <w:rPr>
                <w:rFonts w:eastAsia="Times New Roman" w:cs="Calibri"/>
                <w:b/>
                <w:szCs w:val="24"/>
                <w:lang w:val="en-US" w:eastAsia="de-DE"/>
              </w:rPr>
              <w:t>persAF</w:t>
            </w:r>
            <w:proofErr w:type="spellEnd"/>
          </w:p>
        </w:tc>
        <w:tc>
          <w:tcPr>
            <w:tcW w:w="2238" w:type="dxa"/>
            <w:vMerge w:val="restart"/>
            <w:tcBorders>
              <w:top w:val="single" w:sz="12" w:space="0" w:color="auto"/>
            </w:tcBorders>
            <w:vAlign w:val="center"/>
          </w:tcPr>
          <w:p w14:paraId="3C93C3E5" w14:textId="77777777" w:rsidR="00B747AE" w:rsidRPr="007309ED" w:rsidRDefault="00B747AE" w:rsidP="00D71957">
            <w:pPr>
              <w:widowControl w:val="0"/>
              <w:spacing w:before="60" w:after="60" w:line="240" w:lineRule="auto"/>
              <w:jc w:val="center"/>
              <w:rPr>
                <w:rFonts w:eastAsia="Times New Roman" w:cs="Calibri"/>
                <w:b/>
                <w:szCs w:val="24"/>
                <w:lang w:val="en-US" w:eastAsia="de-DE"/>
              </w:rPr>
            </w:pPr>
            <w:r w:rsidRPr="007309ED">
              <w:rPr>
                <w:rFonts w:eastAsia="Times New Roman" w:cs="Calibri"/>
                <w:b/>
                <w:i/>
                <w:szCs w:val="24"/>
                <w:lang w:val="en-US" w:eastAsia="de-DE"/>
              </w:rPr>
              <w:t>p</w:t>
            </w:r>
            <w:r w:rsidRPr="007309ED">
              <w:rPr>
                <w:rFonts w:eastAsia="Times New Roman" w:cs="Calibri"/>
                <w:b/>
                <w:szCs w:val="24"/>
                <w:lang w:val="en-US" w:eastAsia="de-DE"/>
              </w:rPr>
              <w:t xml:space="preserve"> value</w:t>
            </w:r>
          </w:p>
        </w:tc>
      </w:tr>
      <w:tr w:rsidR="00B747AE" w:rsidRPr="009241AE" w14:paraId="0FD59414" w14:textId="77777777" w:rsidTr="009145C2">
        <w:tc>
          <w:tcPr>
            <w:tcW w:w="2362" w:type="dxa"/>
            <w:tcBorders>
              <w:top w:val="nil"/>
              <w:bottom w:val="single" w:sz="12" w:space="0" w:color="auto"/>
            </w:tcBorders>
          </w:tcPr>
          <w:p w14:paraId="1D7156E5" w14:textId="77777777" w:rsidR="00B747AE" w:rsidRPr="009241AE" w:rsidRDefault="00B747AE" w:rsidP="00D71957">
            <w:pPr>
              <w:widowControl w:val="0"/>
              <w:spacing w:before="60" w:after="60" w:line="240" w:lineRule="auto"/>
              <w:rPr>
                <w:rFonts w:eastAsia="Times New Roman" w:cs="Calibri"/>
                <w:szCs w:val="24"/>
                <w:lang w:val="en-US" w:eastAsia="de-DE"/>
              </w:rPr>
            </w:pPr>
          </w:p>
        </w:tc>
        <w:tc>
          <w:tcPr>
            <w:tcW w:w="2139" w:type="dxa"/>
            <w:tcBorders>
              <w:top w:val="nil"/>
              <w:bottom w:val="single" w:sz="12" w:space="0" w:color="auto"/>
            </w:tcBorders>
          </w:tcPr>
          <w:p w14:paraId="201F49B6" w14:textId="097C3B37" w:rsidR="00B747AE" w:rsidRPr="009241AE" w:rsidRDefault="00B747AE" w:rsidP="00D71957">
            <w:pPr>
              <w:widowControl w:val="0"/>
              <w:spacing w:before="60" w:after="60" w:line="240" w:lineRule="auto"/>
              <w:jc w:val="center"/>
              <w:rPr>
                <w:rFonts w:eastAsia="Times New Roman" w:cs="Calibri"/>
                <w:b/>
                <w:szCs w:val="24"/>
                <w:lang w:val="en-US" w:eastAsia="de-DE"/>
              </w:rPr>
            </w:pPr>
            <w:r>
              <w:rPr>
                <w:rFonts w:eastAsia="Times New Roman" w:cs="Calibri"/>
                <w:b/>
                <w:szCs w:val="24"/>
                <w:lang w:val="en-US" w:eastAsia="de-DE"/>
              </w:rPr>
              <w:t>(n=28)</w:t>
            </w:r>
          </w:p>
        </w:tc>
        <w:tc>
          <w:tcPr>
            <w:tcW w:w="2287" w:type="dxa"/>
            <w:tcBorders>
              <w:top w:val="nil"/>
              <w:bottom w:val="single" w:sz="12" w:space="0" w:color="auto"/>
            </w:tcBorders>
          </w:tcPr>
          <w:p w14:paraId="6B5B9FA2" w14:textId="69D3E486" w:rsidR="00B747AE" w:rsidRPr="009241AE" w:rsidRDefault="00B747AE" w:rsidP="00D71957">
            <w:pPr>
              <w:widowControl w:val="0"/>
              <w:spacing w:before="60" w:after="60" w:line="240" w:lineRule="auto"/>
              <w:jc w:val="center"/>
              <w:rPr>
                <w:rFonts w:eastAsia="Times New Roman" w:cs="Calibri"/>
                <w:b/>
                <w:szCs w:val="24"/>
                <w:lang w:val="en-US" w:eastAsia="de-DE"/>
              </w:rPr>
            </w:pPr>
            <w:r>
              <w:rPr>
                <w:rFonts w:eastAsia="Times New Roman" w:cs="Calibri"/>
                <w:b/>
                <w:szCs w:val="24"/>
                <w:lang w:val="en-US" w:eastAsia="de-DE"/>
              </w:rPr>
              <w:t>(n=24)</w:t>
            </w:r>
          </w:p>
        </w:tc>
        <w:tc>
          <w:tcPr>
            <w:tcW w:w="2238" w:type="dxa"/>
            <w:vMerge/>
            <w:tcBorders>
              <w:bottom w:val="single" w:sz="12" w:space="0" w:color="auto"/>
            </w:tcBorders>
            <w:shd w:val="clear" w:color="auto" w:fill="FFFF00"/>
            <w:vAlign w:val="center"/>
          </w:tcPr>
          <w:p w14:paraId="350805DC" w14:textId="77777777" w:rsidR="00B747AE" w:rsidRPr="00AE0BE0" w:rsidRDefault="00B747AE" w:rsidP="00D71957">
            <w:pPr>
              <w:widowControl w:val="0"/>
              <w:spacing w:before="60" w:after="60" w:line="240" w:lineRule="auto"/>
              <w:jc w:val="center"/>
              <w:rPr>
                <w:rFonts w:eastAsia="Times New Roman" w:cs="Calibri"/>
                <w:b/>
                <w:i/>
                <w:szCs w:val="24"/>
                <w:highlight w:val="yellow"/>
                <w:lang w:val="en-US" w:eastAsia="de-DE"/>
              </w:rPr>
            </w:pPr>
          </w:p>
        </w:tc>
      </w:tr>
      <w:tr w:rsidR="00B747AE" w:rsidRPr="00BC5952" w14:paraId="1EE99DDF" w14:textId="77777777" w:rsidTr="007309ED">
        <w:tc>
          <w:tcPr>
            <w:tcW w:w="2362" w:type="dxa"/>
            <w:tcBorders>
              <w:top w:val="single" w:sz="12" w:space="0" w:color="auto"/>
            </w:tcBorders>
          </w:tcPr>
          <w:p w14:paraId="0F9E7DDD" w14:textId="585B805B"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Sex, male/female</w:t>
            </w:r>
          </w:p>
        </w:tc>
        <w:tc>
          <w:tcPr>
            <w:tcW w:w="2139" w:type="dxa"/>
            <w:tcBorders>
              <w:top w:val="single" w:sz="12" w:space="0" w:color="auto"/>
            </w:tcBorders>
          </w:tcPr>
          <w:p w14:paraId="4E4F3C69" w14:textId="4EC77E26"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24/4</w:t>
            </w:r>
          </w:p>
        </w:tc>
        <w:tc>
          <w:tcPr>
            <w:tcW w:w="2287" w:type="dxa"/>
            <w:tcBorders>
              <w:top w:val="single" w:sz="12" w:space="0" w:color="auto"/>
            </w:tcBorders>
          </w:tcPr>
          <w:p w14:paraId="50CD59AA" w14:textId="58793E1A"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14/10*</w:t>
            </w:r>
          </w:p>
        </w:tc>
        <w:tc>
          <w:tcPr>
            <w:tcW w:w="2238" w:type="dxa"/>
            <w:tcBorders>
              <w:top w:val="single" w:sz="12" w:space="0" w:color="auto"/>
            </w:tcBorders>
          </w:tcPr>
          <w:p w14:paraId="70F5C092" w14:textId="0BC198BD" w:rsidR="00B747AE" w:rsidRPr="00BC5952" w:rsidRDefault="004C0760" w:rsidP="00D71957">
            <w:pPr>
              <w:widowControl w:val="0"/>
              <w:spacing w:before="60" w:after="60" w:line="240" w:lineRule="auto"/>
              <w:jc w:val="center"/>
              <w:rPr>
                <w:rFonts w:cs="Calibri"/>
                <w:szCs w:val="24"/>
                <w:lang w:val="en-US"/>
              </w:rPr>
            </w:pPr>
            <w:r w:rsidRPr="00BC5952">
              <w:rPr>
                <w:rFonts w:cs="Calibri"/>
                <w:szCs w:val="24"/>
                <w:lang w:val="en-US"/>
              </w:rPr>
              <w:t>0.033</w:t>
            </w:r>
          </w:p>
        </w:tc>
      </w:tr>
      <w:tr w:rsidR="00B747AE" w:rsidRPr="00BC5952" w14:paraId="377BAF5A" w14:textId="77777777" w:rsidTr="007309ED">
        <w:tc>
          <w:tcPr>
            <w:tcW w:w="2362" w:type="dxa"/>
          </w:tcPr>
          <w:p w14:paraId="035A3F2B" w14:textId="284DF564"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Age, y</w:t>
            </w:r>
          </w:p>
        </w:tc>
        <w:tc>
          <w:tcPr>
            <w:tcW w:w="2139" w:type="dxa"/>
          </w:tcPr>
          <w:p w14:paraId="38360F37" w14:textId="12F94A95"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 xml:space="preserve">63.3 </w:t>
            </w:r>
            <w:r w:rsidRPr="00BC5952">
              <w:rPr>
                <w:rFonts w:ascii="Symbol" w:eastAsia="Symbol" w:hAnsi="Symbol" w:cs="Symbol"/>
                <w:szCs w:val="24"/>
                <w:lang w:val="en-US"/>
              </w:rPr>
              <w:t></w:t>
            </w:r>
            <w:r w:rsidRPr="00BC5952">
              <w:rPr>
                <w:rFonts w:cs="Calibri"/>
                <w:szCs w:val="24"/>
                <w:lang w:val="en-US"/>
              </w:rPr>
              <w:t xml:space="preserve"> 2.0</w:t>
            </w:r>
          </w:p>
        </w:tc>
        <w:tc>
          <w:tcPr>
            <w:tcW w:w="2287" w:type="dxa"/>
          </w:tcPr>
          <w:p w14:paraId="0CF28C79" w14:textId="5261442D"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 xml:space="preserve">70.8 </w:t>
            </w:r>
            <w:r w:rsidRPr="00BC5952">
              <w:rPr>
                <w:rFonts w:ascii="Symbol" w:eastAsia="Symbol" w:hAnsi="Symbol" w:cs="Symbol"/>
                <w:szCs w:val="24"/>
                <w:lang w:val="en-US"/>
              </w:rPr>
              <w:t></w:t>
            </w:r>
            <w:r w:rsidRPr="00BC5952">
              <w:rPr>
                <w:rFonts w:cs="Calibri"/>
                <w:szCs w:val="24"/>
                <w:lang w:val="en-US"/>
              </w:rPr>
              <w:t xml:space="preserve"> 1.5**</w:t>
            </w:r>
          </w:p>
        </w:tc>
        <w:tc>
          <w:tcPr>
            <w:tcW w:w="2238" w:type="dxa"/>
          </w:tcPr>
          <w:p w14:paraId="5003A91D" w14:textId="75F0146F" w:rsidR="00B747AE" w:rsidRPr="00BC5952" w:rsidRDefault="004C0760" w:rsidP="00D71957">
            <w:pPr>
              <w:widowControl w:val="0"/>
              <w:spacing w:before="60" w:after="60" w:line="240" w:lineRule="auto"/>
              <w:jc w:val="center"/>
              <w:rPr>
                <w:rFonts w:cs="Calibri"/>
                <w:szCs w:val="24"/>
                <w:lang w:val="en-US"/>
              </w:rPr>
            </w:pPr>
            <w:r w:rsidRPr="00BC5952">
              <w:rPr>
                <w:rFonts w:cs="Calibri"/>
                <w:szCs w:val="24"/>
                <w:lang w:val="en-US"/>
              </w:rPr>
              <w:t>0.004</w:t>
            </w:r>
          </w:p>
        </w:tc>
      </w:tr>
      <w:tr w:rsidR="00B747AE" w:rsidRPr="00BC5952" w14:paraId="41053AF1" w14:textId="77777777" w:rsidTr="007309ED">
        <w:tc>
          <w:tcPr>
            <w:tcW w:w="2362" w:type="dxa"/>
          </w:tcPr>
          <w:p w14:paraId="1F02E62A" w14:textId="155CF32B"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Body mass index, kg/m</w:t>
            </w:r>
            <w:r w:rsidRPr="00BC5952">
              <w:rPr>
                <w:rFonts w:eastAsia="Times New Roman" w:cs="Calibri"/>
                <w:szCs w:val="24"/>
                <w:vertAlign w:val="superscript"/>
                <w:lang w:val="en-US" w:eastAsia="de-DE"/>
              </w:rPr>
              <w:t>2</w:t>
            </w:r>
          </w:p>
        </w:tc>
        <w:tc>
          <w:tcPr>
            <w:tcW w:w="2139" w:type="dxa"/>
          </w:tcPr>
          <w:p w14:paraId="4D44A443" w14:textId="7CD33682"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 xml:space="preserve">29.4 </w:t>
            </w:r>
            <w:r w:rsidRPr="00BC5952">
              <w:rPr>
                <w:rFonts w:ascii="Symbol" w:eastAsia="Symbol" w:hAnsi="Symbol" w:cs="Symbol"/>
                <w:szCs w:val="24"/>
                <w:lang w:val="en-US"/>
              </w:rPr>
              <w:t></w:t>
            </w:r>
            <w:r w:rsidRPr="00BC5952">
              <w:rPr>
                <w:rFonts w:cs="Calibri"/>
                <w:szCs w:val="24"/>
                <w:lang w:val="en-US"/>
              </w:rPr>
              <w:t xml:space="preserve"> 0.9</w:t>
            </w:r>
          </w:p>
        </w:tc>
        <w:tc>
          <w:tcPr>
            <w:tcW w:w="2287" w:type="dxa"/>
          </w:tcPr>
          <w:p w14:paraId="5D5E715C" w14:textId="0010C30B"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 xml:space="preserve">28.2 </w:t>
            </w:r>
            <w:r w:rsidRPr="00BC5952">
              <w:rPr>
                <w:rFonts w:ascii="Symbol" w:eastAsia="Symbol" w:hAnsi="Symbol" w:cs="Symbol"/>
                <w:szCs w:val="24"/>
                <w:lang w:val="en-US"/>
              </w:rPr>
              <w:t></w:t>
            </w:r>
            <w:r w:rsidRPr="00BC5952">
              <w:rPr>
                <w:rFonts w:cs="Calibri"/>
                <w:szCs w:val="24"/>
                <w:lang w:val="en-US"/>
              </w:rPr>
              <w:t xml:space="preserve"> 1.0</w:t>
            </w:r>
          </w:p>
        </w:tc>
        <w:tc>
          <w:tcPr>
            <w:tcW w:w="2238" w:type="dxa"/>
          </w:tcPr>
          <w:p w14:paraId="0B2FBA28" w14:textId="0A91ED9D" w:rsidR="00B747AE" w:rsidRPr="00BC5952" w:rsidRDefault="004C0760" w:rsidP="00D71957">
            <w:pPr>
              <w:widowControl w:val="0"/>
              <w:spacing w:before="60" w:after="60" w:line="240" w:lineRule="auto"/>
              <w:jc w:val="center"/>
              <w:rPr>
                <w:rFonts w:cs="Calibri"/>
                <w:szCs w:val="24"/>
                <w:lang w:val="en-US"/>
              </w:rPr>
            </w:pPr>
            <w:r w:rsidRPr="00BC5952">
              <w:rPr>
                <w:rFonts w:cs="Calibri"/>
                <w:szCs w:val="24"/>
                <w:lang w:val="en-US"/>
              </w:rPr>
              <w:t>0.391</w:t>
            </w:r>
          </w:p>
        </w:tc>
      </w:tr>
      <w:tr w:rsidR="00B747AE" w:rsidRPr="00BC5952" w14:paraId="71F14F21" w14:textId="77777777" w:rsidTr="007309ED">
        <w:tc>
          <w:tcPr>
            <w:tcW w:w="2362" w:type="dxa"/>
          </w:tcPr>
          <w:p w14:paraId="00B3020D" w14:textId="77777777" w:rsidR="00B747AE" w:rsidRPr="00BC5952" w:rsidRDefault="00B747AE" w:rsidP="00D71957">
            <w:pPr>
              <w:widowControl w:val="0"/>
              <w:spacing w:before="60" w:after="60" w:line="240" w:lineRule="auto"/>
              <w:rPr>
                <w:rFonts w:eastAsia="Times New Roman" w:cs="Calibri"/>
                <w:szCs w:val="24"/>
                <w:lang w:val="en-US" w:eastAsia="de-DE"/>
              </w:rPr>
            </w:pPr>
          </w:p>
        </w:tc>
        <w:tc>
          <w:tcPr>
            <w:tcW w:w="2139" w:type="dxa"/>
          </w:tcPr>
          <w:p w14:paraId="6E625FAC" w14:textId="77777777" w:rsidR="00B747AE" w:rsidRPr="00BC5952" w:rsidRDefault="00B747AE" w:rsidP="00D71957">
            <w:pPr>
              <w:widowControl w:val="0"/>
              <w:spacing w:before="60" w:after="60" w:line="240" w:lineRule="auto"/>
              <w:jc w:val="center"/>
              <w:rPr>
                <w:rFonts w:eastAsia="Times New Roman" w:cs="Calibri"/>
                <w:szCs w:val="24"/>
                <w:lang w:val="en-US" w:eastAsia="de-DE"/>
              </w:rPr>
            </w:pPr>
          </w:p>
        </w:tc>
        <w:tc>
          <w:tcPr>
            <w:tcW w:w="2287" w:type="dxa"/>
          </w:tcPr>
          <w:p w14:paraId="4EFD371B" w14:textId="77777777" w:rsidR="00B747AE" w:rsidRPr="00BC5952" w:rsidRDefault="00B747AE" w:rsidP="00D71957">
            <w:pPr>
              <w:widowControl w:val="0"/>
              <w:spacing w:before="60" w:after="60" w:line="240" w:lineRule="auto"/>
              <w:jc w:val="center"/>
              <w:rPr>
                <w:rFonts w:eastAsia="Times New Roman" w:cs="Calibri"/>
                <w:szCs w:val="24"/>
                <w:lang w:val="en-US" w:eastAsia="de-DE"/>
              </w:rPr>
            </w:pPr>
          </w:p>
        </w:tc>
        <w:tc>
          <w:tcPr>
            <w:tcW w:w="2238" w:type="dxa"/>
          </w:tcPr>
          <w:p w14:paraId="6337E24B" w14:textId="77777777" w:rsidR="00B747AE" w:rsidRPr="00BC5952" w:rsidRDefault="00B747AE" w:rsidP="00D71957">
            <w:pPr>
              <w:widowControl w:val="0"/>
              <w:spacing w:before="60" w:after="60" w:line="240" w:lineRule="auto"/>
              <w:jc w:val="center"/>
              <w:rPr>
                <w:rFonts w:eastAsia="Times New Roman" w:cs="Calibri"/>
                <w:szCs w:val="24"/>
                <w:lang w:val="en-US" w:eastAsia="de-DE"/>
              </w:rPr>
            </w:pPr>
          </w:p>
        </w:tc>
      </w:tr>
      <w:tr w:rsidR="00B747AE" w:rsidRPr="00BC5952" w14:paraId="5821AC0E" w14:textId="77777777" w:rsidTr="007309ED">
        <w:tc>
          <w:tcPr>
            <w:tcW w:w="2362" w:type="dxa"/>
          </w:tcPr>
          <w:p w14:paraId="517596CE" w14:textId="7AD0C1F2"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CAD, n</w:t>
            </w:r>
          </w:p>
        </w:tc>
        <w:tc>
          <w:tcPr>
            <w:tcW w:w="2139" w:type="dxa"/>
          </w:tcPr>
          <w:p w14:paraId="27273361" w14:textId="5725F110"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23</w:t>
            </w:r>
          </w:p>
        </w:tc>
        <w:tc>
          <w:tcPr>
            <w:tcW w:w="2287" w:type="dxa"/>
          </w:tcPr>
          <w:p w14:paraId="25EAE236" w14:textId="711D1BB5"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12*</w:t>
            </w:r>
          </w:p>
        </w:tc>
        <w:tc>
          <w:tcPr>
            <w:tcW w:w="2238" w:type="dxa"/>
          </w:tcPr>
          <w:p w14:paraId="3EF50084" w14:textId="3E995CA7" w:rsidR="00B747AE" w:rsidRPr="00BC5952" w:rsidRDefault="004C0760"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0.019</w:t>
            </w:r>
          </w:p>
        </w:tc>
      </w:tr>
      <w:tr w:rsidR="00B747AE" w:rsidRPr="00BC5952" w14:paraId="6903A01E" w14:textId="77777777" w:rsidTr="007309ED">
        <w:tc>
          <w:tcPr>
            <w:tcW w:w="2362" w:type="dxa"/>
          </w:tcPr>
          <w:p w14:paraId="1ED288B4" w14:textId="5FCBD74D"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MVD/AVD, n</w:t>
            </w:r>
          </w:p>
        </w:tc>
        <w:tc>
          <w:tcPr>
            <w:tcW w:w="2139" w:type="dxa"/>
          </w:tcPr>
          <w:p w14:paraId="0DD31F49" w14:textId="347A29F2"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3</w:t>
            </w:r>
          </w:p>
        </w:tc>
        <w:tc>
          <w:tcPr>
            <w:tcW w:w="2287" w:type="dxa"/>
          </w:tcPr>
          <w:p w14:paraId="7763E857" w14:textId="3E0BFF7D"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8</w:t>
            </w:r>
          </w:p>
        </w:tc>
        <w:tc>
          <w:tcPr>
            <w:tcW w:w="2238" w:type="dxa"/>
          </w:tcPr>
          <w:p w14:paraId="4ED553FB" w14:textId="0D6FA0BB" w:rsidR="00B747AE" w:rsidRPr="00BC5952" w:rsidRDefault="004C0760"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0.086</w:t>
            </w:r>
          </w:p>
        </w:tc>
      </w:tr>
      <w:tr w:rsidR="00B747AE" w:rsidRPr="00BC5952" w14:paraId="1704F9F1" w14:textId="77777777" w:rsidTr="007309ED">
        <w:tc>
          <w:tcPr>
            <w:tcW w:w="2362" w:type="dxa"/>
          </w:tcPr>
          <w:p w14:paraId="4B229A3B" w14:textId="792AE31E"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CAD+MVD/AVD, n</w:t>
            </w:r>
          </w:p>
        </w:tc>
        <w:tc>
          <w:tcPr>
            <w:tcW w:w="2139" w:type="dxa"/>
          </w:tcPr>
          <w:p w14:paraId="0983A287" w14:textId="317AE15A"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2</w:t>
            </w:r>
          </w:p>
        </w:tc>
        <w:tc>
          <w:tcPr>
            <w:tcW w:w="2287" w:type="dxa"/>
          </w:tcPr>
          <w:p w14:paraId="19FEC766" w14:textId="48DB30CF"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4</w:t>
            </w:r>
          </w:p>
        </w:tc>
        <w:tc>
          <w:tcPr>
            <w:tcW w:w="2238" w:type="dxa"/>
          </w:tcPr>
          <w:p w14:paraId="5E3449ED" w14:textId="22FF3EC6" w:rsidR="00B747AE" w:rsidRPr="00BC5952" w:rsidRDefault="004C0760"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0.397</w:t>
            </w:r>
          </w:p>
        </w:tc>
      </w:tr>
      <w:tr w:rsidR="00B747AE" w:rsidRPr="00BC5952" w14:paraId="454C8978" w14:textId="77777777" w:rsidTr="007309ED">
        <w:tc>
          <w:tcPr>
            <w:tcW w:w="2362" w:type="dxa"/>
          </w:tcPr>
          <w:p w14:paraId="34F55B28" w14:textId="77777777" w:rsidR="00B747AE" w:rsidRPr="00BC5952" w:rsidRDefault="00B747AE" w:rsidP="00D71957">
            <w:pPr>
              <w:widowControl w:val="0"/>
              <w:spacing w:before="60" w:after="60" w:line="240" w:lineRule="auto"/>
              <w:rPr>
                <w:rFonts w:eastAsia="Times New Roman" w:cs="Calibri"/>
                <w:szCs w:val="24"/>
                <w:lang w:val="en-US" w:eastAsia="de-DE"/>
              </w:rPr>
            </w:pPr>
          </w:p>
        </w:tc>
        <w:tc>
          <w:tcPr>
            <w:tcW w:w="2139" w:type="dxa"/>
          </w:tcPr>
          <w:p w14:paraId="43B6E7BF" w14:textId="77777777" w:rsidR="00B747AE" w:rsidRPr="00BC5952" w:rsidRDefault="00B747AE" w:rsidP="00D71957">
            <w:pPr>
              <w:widowControl w:val="0"/>
              <w:spacing w:before="60" w:after="60" w:line="240" w:lineRule="auto"/>
              <w:jc w:val="center"/>
              <w:rPr>
                <w:rFonts w:eastAsia="Times New Roman" w:cs="Calibri"/>
                <w:szCs w:val="24"/>
                <w:lang w:val="en-US" w:eastAsia="de-DE"/>
              </w:rPr>
            </w:pPr>
          </w:p>
        </w:tc>
        <w:tc>
          <w:tcPr>
            <w:tcW w:w="2287" w:type="dxa"/>
          </w:tcPr>
          <w:p w14:paraId="5AE55889" w14:textId="77777777" w:rsidR="00B747AE" w:rsidRPr="00BC5952" w:rsidRDefault="00B747AE" w:rsidP="00D71957">
            <w:pPr>
              <w:widowControl w:val="0"/>
              <w:spacing w:before="60" w:after="60" w:line="240" w:lineRule="auto"/>
              <w:jc w:val="center"/>
              <w:rPr>
                <w:rFonts w:eastAsia="Times New Roman" w:cs="Calibri"/>
                <w:szCs w:val="24"/>
                <w:lang w:val="en-US" w:eastAsia="de-DE"/>
              </w:rPr>
            </w:pPr>
          </w:p>
        </w:tc>
        <w:tc>
          <w:tcPr>
            <w:tcW w:w="2238" w:type="dxa"/>
          </w:tcPr>
          <w:p w14:paraId="2B826AEB" w14:textId="77777777" w:rsidR="00B747AE" w:rsidRPr="00BC5952" w:rsidRDefault="00B747AE" w:rsidP="00D71957">
            <w:pPr>
              <w:widowControl w:val="0"/>
              <w:spacing w:before="60" w:after="60" w:line="240" w:lineRule="auto"/>
              <w:jc w:val="center"/>
              <w:rPr>
                <w:rFonts w:eastAsia="Times New Roman" w:cs="Calibri"/>
                <w:szCs w:val="24"/>
                <w:lang w:val="en-US" w:eastAsia="de-DE"/>
              </w:rPr>
            </w:pPr>
          </w:p>
        </w:tc>
      </w:tr>
      <w:tr w:rsidR="00B747AE" w:rsidRPr="00BC5952" w14:paraId="4221EC29" w14:textId="77777777" w:rsidTr="007309ED">
        <w:tc>
          <w:tcPr>
            <w:tcW w:w="2362" w:type="dxa"/>
          </w:tcPr>
          <w:p w14:paraId="2442A11A" w14:textId="54927971"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Hypertension, n</w:t>
            </w:r>
          </w:p>
        </w:tc>
        <w:tc>
          <w:tcPr>
            <w:tcW w:w="2139" w:type="dxa"/>
          </w:tcPr>
          <w:p w14:paraId="2B2B3A7D" w14:textId="31D2E7D4"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22</w:t>
            </w:r>
          </w:p>
        </w:tc>
        <w:tc>
          <w:tcPr>
            <w:tcW w:w="2287" w:type="dxa"/>
          </w:tcPr>
          <w:p w14:paraId="346F914C" w14:textId="45866D67"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20</w:t>
            </w:r>
          </w:p>
        </w:tc>
        <w:tc>
          <w:tcPr>
            <w:tcW w:w="2238" w:type="dxa"/>
          </w:tcPr>
          <w:p w14:paraId="3725D9D1" w14:textId="481F0E13" w:rsidR="00B747AE" w:rsidRPr="00BC5952" w:rsidRDefault="004C0760"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0.736</w:t>
            </w:r>
          </w:p>
        </w:tc>
      </w:tr>
      <w:tr w:rsidR="00B747AE" w:rsidRPr="00BC5952" w14:paraId="12C4BB31" w14:textId="77777777" w:rsidTr="007309ED">
        <w:tc>
          <w:tcPr>
            <w:tcW w:w="2362" w:type="dxa"/>
          </w:tcPr>
          <w:p w14:paraId="2A6DB471" w14:textId="50DB93C5"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Diabetes, n</w:t>
            </w:r>
          </w:p>
        </w:tc>
        <w:tc>
          <w:tcPr>
            <w:tcW w:w="2139" w:type="dxa"/>
          </w:tcPr>
          <w:p w14:paraId="4DB01AD5" w14:textId="08ECF0EE"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5</w:t>
            </w:r>
          </w:p>
        </w:tc>
        <w:tc>
          <w:tcPr>
            <w:tcW w:w="2287" w:type="dxa"/>
          </w:tcPr>
          <w:p w14:paraId="780237AA" w14:textId="2A1952BB"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9</w:t>
            </w:r>
          </w:p>
        </w:tc>
        <w:tc>
          <w:tcPr>
            <w:tcW w:w="2238" w:type="dxa"/>
          </w:tcPr>
          <w:p w14:paraId="081E703E" w14:textId="6B712C39" w:rsidR="00B747AE" w:rsidRPr="00BC5952" w:rsidRDefault="004C0760"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0.130</w:t>
            </w:r>
          </w:p>
        </w:tc>
      </w:tr>
      <w:tr w:rsidR="00B747AE" w:rsidRPr="00BC5952" w14:paraId="37870A8A" w14:textId="77777777" w:rsidTr="007309ED">
        <w:tc>
          <w:tcPr>
            <w:tcW w:w="2362" w:type="dxa"/>
          </w:tcPr>
          <w:p w14:paraId="204DF0EA" w14:textId="74332902"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Hyperlipidemia, n</w:t>
            </w:r>
          </w:p>
        </w:tc>
        <w:tc>
          <w:tcPr>
            <w:tcW w:w="2139" w:type="dxa"/>
          </w:tcPr>
          <w:p w14:paraId="691FF7A1" w14:textId="001F3040"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11</w:t>
            </w:r>
          </w:p>
        </w:tc>
        <w:tc>
          <w:tcPr>
            <w:tcW w:w="2287" w:type="dxa"/>
          </w:tcPr>
          <w:p w14:paraId="0A6BC54A" w14:textId="2F91EA19"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13</w:t>
            </w:r>
          </w:p>
        </w:tc>
        <w:tc>
          <w:tcPr>
            <w:tcW w:w="2238" w:type="dxa"/>
          </w:tcPr>
          <w:p w14:paraId="637C6DA4" w14:textId="05097AD9" w:rsidR="00B747AE" w:rsidRPr="00BC5952" w:rsidRDefault="004C0760"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0.403</w:t>
            </w:r>
          </w:p>
        </w:tc>
      </w:tr>
      <w:tr w:rsidR="00B747AE" w:rsidRPr="00BC5952" w14:paraId="03C5DA12" w14:textId="77777777" w:rsidTr="007309ED">
        <w:tc>
          <w:tcPr>
            <w:tcW w:w="2362" w:type="dxa"/>
          </w:tcPr>
          <w:p w14:paraId="52AC216E" w14:textId="77777777" w:rsidR="00B747AE" w:rsidRPr="00BC5952" w:rsidRDefault="00B747AE" w:rsidP="00D71957">
            <w:pPr>
              <w:widowControl w:val="0"/>
              <w:spacing w:before="60" w:after="60" w:line="240" w:lineRule="auto"/>
              <w:rPr>
                <w:rFonts w:eastAsia="Times New Roman" w:cs="Calibri"/>
                <w:szCs w:val="24"/>
                <w:lang w:val="en-US" w:eastAsia="de-DE"/>
              </w:rPr>
            </w:pPr>
          </w:p>
        </w:tc>
        <w:tc>
          <w:tcPr>
            <w:tcW w:w="2139" w:type="dxa"/>
          </w:tcPr>
          <w:p w14:paraId="308B55E0" w14:textId="77777777" w:rsidR="00B747AE" w:rsidRPr="00BC5952" w:rsidRDefault="00B747AE" w:rsidP="00D71957">
            <w:pPr>
              <w:widowControl w:val="0"/>
              <w:spacing w:before="60" w:after="60" w:line="240" w:lineRule="auto"/>
              <w:jc w:val="center"/>
              <w:rPr>
                <w:rFonts w:eastAsia="Times New Roman" w:cs="Calibri"/>
                <w:szCs w:val="24"/>
                <w:lang w:val="en-US" w:eastAsia="de-DE"/>
              </w:rPr>
            </w:pPr>
          </w:p>
        </w:tc>
        <w:tc>
          <w:tcPr>
            <w:tcW w:w="2287" w:type="dxa"/>
          </w:tcPr>
          <w:p w14:paraId="6C6A2ED7" w14:textId="77777777" w:rsidR="00B747AE" w:rsidRPr="00BC5952" w:rsidRDefault="00B747AE" w:rsidP="00D71957">
            <w:pPr>
              <w:widowControl w:val="0"/>
              <w:spacing w:before="60" w:after="60" w:line="240" w:lineRule="auto"/>
              <w:jc w:val="center"/>
              <w:rPr>
                <w:rFonts w:eastAsia="Times New Roman" w:cs="Calibri"/>
                <w:szCs w:val="24"/>
                <w:lang w:val="en-US" w:eastAsia="de-DE"/>
              </w:rPr>
            </w:pPr>
          </w:p>
        </w:tc>
        <w:tc>
          <w:tcPr>
            <w:tcW w:w="2238" w:type="dxa"/>
          </w:tcPr>
          <w:p w14:paraId="4093DE59" w14:textId="77777777" w:rsidR="00B747AE" w:rsidRPr="00BC5952" w:rsidRDefault="00B747AE" w:rsidP="00D71957">
            <w:pPr>
              <w:widowControl w:val="0"/>
              <w:spacing w:before="60" w:after="60" w:line="240" w:lineRule="auto"/>
              <w:jc w:val="center"/>
              <w:rPr>
                <w:rFonts w:eastAsia="Times New Roman" w:cs="Calibri"/>
                <w:szCs w:val="24"/>
                <w:lang w:val="en-US" w:eastAsia="de-DE"/>
              </w:rPr>
            </w:pPr>
          </w:p>
        </w:tc>
      </w:tr>
      <w:tr w:rsidR="00B747AE" w:rsidRPr="00BC5952" w14:paraId="177922E0" w14:textId="77777777" w:rsidTr="007309ED">
        <w:tc>
          <w:tcPr>
            <w:tcW w:w="2362" w:type="dxa"/>
          </w:tcPr>
          <w:p w14:paraId="584BA0EE" w14:textId="106D7DA9"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LVEF, %</w:t>
            </w:r>
          </w:p>
        </w:tc>
        <w:tc>
          <w:tcPr>
            <w:tcW w:w="2139" w:type="dxa"/>
          </w:tcPr>
          <w:p w14:paraId="6869B3BC" w14:textId="1A67B818"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 xml:space="preserve">52.7 </w:t>
            </w:r>
            <w:r w:rsidRPr="00BC5952">
              <w:rPr>
                <w:rFonts w:ascii="Symbol" w:eastAsia="Symbol" w:hAnsi="Symbol" w:cs="Symbol"/>
                <w:szCs w:val="24"/>
                <w:lang w:val="en-US"/>
              </w:rPr>
              <w:t></w:t>
            </w:r>
            <w:r w:rsidRPr="00BC5952">
              <w:rPr>
                <w:rFonts w:cs="Calibri"/>
                <w:szCs w:val="24"/>
                <w:lang w:val="en-US"/>
              </w:rPr>
              <w:t xml:space="preserve"> 2.1</w:t>
            </w:r>
          </w:p>
        </w:tc>
        <w:tc>
          <w:tcPr>
            <w:tcW w:w="2287" w:type="dxa"/>
          </w:tcPr>
          <w:p w14:paraId="3A211501" w14:textId="716445C6"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 xml:space="preserve">50.5 </w:t>
            </w:r>
            <w:r w:rsidRPr="00BC5952">
              <w:rPr>
                <w:rFonts w:ascii="Symbol" w:eastAsia="Symbol" w:hAnsi="Symbol" w:cs="Symbol"/>
                <w:szCs w:val="24"/>
                <w:lang w:val="en-US"/>
              </w:rPr>
              <w:t></w:t>
            </w:r>
            <w:r w:rsidRPr="00BC5952">
              <w:rPr>
                <w:rFonts w:cs="Calibri"/>
                <w:szCs w:val="24"/>
                <w:lang w:val="en-US"/>
              </w:rPr>
              <w:t xml:space="preserve"> 3.0</w:t>
            </w:r>
          </w:p>
        </w:tc>
        <w:tc>
          <w:tcPr>
            <w:tcW w:w="2238" w:type="dxa"/>
          </w:tcPr>
          <w:p w14:paraId="222F9BCF" w14:textId="017D0446" w:rsidR="00B747AE" w:rsidRPr="00BC5952" w:rsidRDefault="004C0760" w:rsidP="00D71957">
            <w:pPr>
              <w:widowControl w:val="0"/>
              <w:spacing w:before="60" w:after="60" w:line="240" w:lineRule="auto"/>
              <w:jc w:val="center"/>
              <w:rPr>
                <w:rFonts w:cs="Calibri"/>
                <w:szCs w:val="24"/>
                <w:lang w:val="en-US"/>
              </w:rPr>
            </w:pPr>
            <w:r w:rsidRPr="00BC5952">
              <w:rPr>
                <w:rFonts w:cs="Calibri"/>
                <w:szCs w:val="24"/>
                <w:lang w:val="en-US"/>
              </w:rPr>
              <w:t>0.527</w:t>
            </w:r>
          </w:p>
        </w:tc>
      </w:tr>
      <w:tr w:rsidR="00B747AE" w:rsidRPr="00BC5952" w14:paraId="47A1FB5A" w14:textId="77777777" w:rsidTr="007309ED">
        <w:tc>
          <w:tcPr>
            <w:tcW w:w="2362" w:type="dxa"/>
          </w:tcPr>
          <w:p w14:paraId="1D3BBA94" w14:textId="77777777" w:rsidR="00B747AE" w:rsidRPr="00BC5952" w:rsidRDefault="00B747AE" w:rsidP="00D71957">
            <w:pPr>
              <w:widowControl w:val="0"/>
              <w:spacing w:before="60" w:after="60" w:line="240" w:lineRule="auto"/>
              <w:rPr>
                <w:rFonts w:eastAsia="Times New Roman" w:cs="Calibri"/>
                <w:szCs w:val="24"/>
                <w:lang w:val="en-US" w:eastAsia="de-DE"/>
              </w:rPr>
            </w:pPr>
          </w:p>
        </w:tc>
        <w:tc>
          <w:tcPr>
            <w:tcW w:w="2139" w:type="dxa"/>
          </w:tcPr>
          <w:p w14:paraId="17717305" w14:textId="77777777" w:rsidR="00B747AE" w:rsidRPr="00BC5952" w:rsidRDefault="00B747AE" w:rsidP="00D71957">
            <w:pPr>
              <w:widowControl w:val="0"/>
              <w:spacing w:before="60" w:after="60" w:line="240" w:lineRule="auto"/>
              <w:jc w:val="center"/>
              <w:rPr>
                <w:rFonts w:eastAsia="Times New Roman" w:cs="Calibri"/>
                <w:szCs w:val="24"/>
                <w:lang w:val="en-US" w:eastAsia="de-DE"/>
              </w:rPr>
            </w:pPr>
          </w:p>
        </w:tc>
        <w:tc>
          <w:tcPr>
            <w:tcW w:w="2287" w:type="dxa"/>
          </w:tcPr>
          <w:p w14:paraId="76564395" w14:textId="77777777" w:rsidR="00B747AE" w:rsidRPr="00BC5952" w:rsidRDefault="00B747AE" w:rsidP="00D71957">
            <w:pPr>
              <w:widowControl w:val="0"/>
              <w:spacing w:before="60" w:after="60" w:line="240" w:lineRule="auto"/>
              <w:jc w:val="center"/>
              <w:rPr>
                <w:rFonts w:eastAsia="Times New Roman" w:cs="Calibri"/>
                <w:szCs w:val="24"/>
                <w:lang w:val="en-US" w:eastAsia="de-DE"/>
              </w:rPr>
            </w:pPr>
          </w:p>
        </w:tc>
        <w:tc>
          <w:tcPr>
            <w:tcW w:w="2238" w:type="dxa"/>
          </w:tcPr>
          <w:p w14:paraId="666B90E1" w14:textId="77777777" w:rsidR="00B747AE" w:rsidRPr="00BC5952" w:rsidRDefault="00B747AE" w:rsidP="00D71957">
            <w:pPr>
              <w:widowControl w:val="0"/>
              <w:spacing w:before="60" w:after="60" w:line="240" w:lineRule="auto"/>
              <w:jc w:val="center"/>
              <w:rPr>
                <w:rFonts w:eastAsia="Times New Roman" w:cs="Calibri"/>
                <w:szCs w:val="24"/>
                <w:lang w:val="en-US" w:eastAsia="de-DE"/>
              </w:rPr>
            </w:pPr>
          </w:p>
        </w:tc>
      </w:tr>
      <w:tr w:rsidR="00B747AE" w:rsidRPr="00BC5952" w14:paraId="3FE462D6" w14:textId="77777777" w:rsidTr="007309ED">
        <w:tc>
          <w:tcPr>
            <w:tcW w:w="2362" w:type="dxa"/>
          </w:tcPr>
          <w:p w14:paraId="2C348FF3" w14:textId="56784DAF"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Digitalis, n</w:t>
            </w:r>
          </w:p>
        </w:tc>
        <w:tc>
          <w:tcPr>
            <w:tcW w:w="2139" w:type="dxa"/>
          </w:tcPr>
          <w:p w14:paraId="77833876" w14:textId="6F93177A"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0</w:t>
            </w:r>
          </w:p>
        </w:tc>
        <w:tc>
          <w:tcPr>
            <w:tcW w:w="2287" w:type="dxa"/>
          </w:tcPr>
          <w:p w14:paraId="001A093F" w14:textId="5626D16E"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4</w:t>
            </w:r>
            <w:r w:rsidR="004C0760" w:rsidRPr="00BC5952">
              <w:rPr>
                <w:rFonts w:eastAsia="Times New Roman" w:cs="Calibri"/>
                <w:szCs w:val="24"/>
                <w:lang w:val="en-US" w:eastAsia="de-DE"/>
              </w:rPr>
              <w:t>*</w:t>
            </w:r>
          </w:p>
        </w:tc>
        <w:tc>
          <w:tcPr>
            <w:tcW w:w="2238" w:type="dxa"/>
          </w:tcPr>
          <w:p w14:paraId="01E16B77" w14:textId="1EC7A0DD" w:rsidR="00B747AE" w:rsidRPr="00BC5952" w:rsidRDefault="004C0760"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0.039</w:t>
            </w:r>
          </w:p>
        </w:tc>
      </w:tr>
      <w:tr w:rsidR="00B747AE" w:rsidRPr="00BC5952" w14:paraId="02148642" w14:textId="77777777" w:rsidTr="007309ED">
        <w:tc>
          <w:tcPr>
            <w:tcW w:w="2362" w:type="dxa"/>
          </w:tcPr>
          <w:p w14:paraId="37B09335" w14:textId="04751638"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ACE inhibitors, n</w:t>
            </w:r>
          </w:p>
        </w:tc>
        <w:tc>
          <w:tcPr>
            <w:tcW w:w="2139" w:type="dxa"/>
          </w:tcPr>
          <w:p w14:paraId="0C0C2C41" w14:textId="6C07A681"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12</w:t>
            </w:r>
          </w:p>
        </w:tc>
        <w:tc>
          <w:tcPr>
            <w:tcW w:w="2287" w:type="dxa"/>
          </w:tcPr>
          <w:p w14:paraId="4A0A5E7A" w14:textId="133AFD84"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13</w:t>
            </w:r>
          </w:p>
        </w:tc>
        <w:tc>
          <w:tcPr>
            <w:tcW w:w="2238" w:type="dxa"/>
          </w:tcPr>
          <w:p w14:paraId="0AD75640" w14:textId="22396BA0" w:rsidR="00B747AE" w:rsidRPr="00BC5952" w:rsidRDefault="004C0760" w:rsidP="00D71957">
            <w:pPr>
              <w:widowControl w:val="0"/>
              <w:spacing w:before="60" w:after="60" w:line="240" w:lineRule="auto"/>
              <w:jc w:val="center"/>
              <w:rPr>
                <w:rFonts w:cs="Calibri"/>
                <w:szCs w:val="24"/>
                <w:lang w:val="en-US"/>
              </w:rPr>
            </w:pPr>
            <w:r w:rsidRPr="00BC5952">
              <w:rPr>
                <w:rFonts w:cs="Calibri"/>
                <w:szCs w:val="24"/>
                <w:lang w:val="en-US"/>
              </w:rPr>
              <w:t>0.578</w:t>
            </w:r>
          </w:p>
        </w:tc>
      </w:tr>
      <w:tr w:rsidR="00B747AE" w:rsidRPr="00BC5952" w14:paraId="70757DB8" w14:textId="77777777" w:rsidTr="007309ED">
        <w:tc>
          <w:tcPr>
            <w:tcW w:w="2362" w:type="dxa"/>
          </w:tcPr>
          <w:p w14:paraId="686F3D82" w14:textId="32599538"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AT1 blockers, n</w:t>
            </w:r>
          </w:p>
        </w:tc>
        <w:tc>
          <w:tcPr>
            <w:tcW w:w="2139" w:type="dxa"/>
          </w:tcPr>
          <w:p w14:paraId="0E979287" w14:textId="6D793536"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4</w:t>
            </w:r>
          </w:p>
        </w:tc>
        <w:tc>
          <w:tcPr>
            <w:tcW w:w="2287" w:type="dxa"/>
          </w:tcPr>
          <w:p w14:paraId="67DCF78B" w14:textId="0D82CDF0"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6</w:t>
            </w:r>
          </w:p>
        </w:tc>
        <w:tc>
          <w:tcPr>
            <w:tcW w:w="2238" w:type="dxa"/>
          </w:tcPr>
          <w:p w14:paraId="231179AC" w14:textId="76573F02" w:rsidR="00B747AE" w:rsidRPr="00BC5952" w:rsidRDefault="004C0760"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0.483</w:t>
            </w:r>
          </w:p>
        </w:tc>
      </w:tr>
      <w:tr w:rsidR="00B747AE" w:rsidRPr="00BC5952" w14:paraId="52C22385" w14:textId="77777777" w:rsidTr="007309ED">
        <w:tc>
          <w:tcPr>
            <w:tcW w:w="2362" w:type="dxa"/>
          </w:tcPr>
          <w:p w14:paraId="6664EB8F" w14:textId="55699EF0"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ascii="Symbol" w:eastAsia="Symbol" w:hAnsi="Symbol" w:cs="Symbol"/>
                <w:szCs w:val="24"/>
                <w:lang w:val="en-US" w:eastAsia="de-DE"/>
              </w:rPr>
              <w:t></w:t>
            </w:r>
            <w:r w:rsidRPr="00BC5952">
              <w:rPr>
                <w:rFonts w:eastAsia="Times New Roman" w:cs="Calibri"/>
                <w:szCs w:val="24"/>
                <w:lang w:val="en-US" w:eastAsia="de-DE"/>
              </w:rPr>
              <w:t>-Blockers, n</w:t>
            </w:r>
          </w:p>
        </w:tc>
        <w:tc>
          <w:tcPr>
            <w:tcW w:w="2139" w:type="dxa"/>
          </w:tcPr>
          <w:p w14:paraId="48ADC68F" w14:textId="26E71345"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19</w:t>
            </w:r>
          </w:p>
        </w:tc>
        <w:tc>
          <w:tcPr>
            <w:tcW w:w="2287" w:type="dxa"/>
          </w:tcPr>
          <w:p w14:paraId="4DA72E38" w14:textId="2FB63011"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22*</w:t>
            </w:r>
          </w:p>
        </w:tc>
        <w:tc>
          <w:tcPr>
            <w:tcW w:w="2238" w:type="dxa"/>
          </w:tcPr>
          <w:p w14:paraId="21A5051E" w14:textId="3472ECDA" w:rsidR="00B747AE" w:rsidRPr="00BC5952" w:rsidRDefault="004C0760" w:rsidP="00D71957">
            <w:pPr>
              <w:widowControl w:val="0"/>
              <w:spacing w:before="60" w:after="60" w:line="240" w:lineRule="auto"/>
              <w:jc w:val="center"/>
              <w:rPr>
                <w:rFonts w:cs="Calibri"/>
                <w:szCs w:val="24"/>
                <w:lang w:val="en-US"/>
              </w:rPr>
            </w:pPr>
            <w:r w:rsidRPr="00BC5952">
              <w:rPr>
                <w:rFonts w:cs="Calibri"/>
                <w:szCs w:val="24"/>
                <w:lang w:val="en-US"/>
              </w:rPr>
              <w:t>0.046</w:t>
            </w:r>
          </w:p>
        </w:tc>
      </w:tr>
      <w:tr w:rsidR="00B747AE" w:rsidRPr="00BC5952" w14:paraId="509E8786" w14:textId="77777777" w:rsidTr="007309ED">
        <w:tc>
          <w:tcPr>
            <w:tcW w:w="2362" w:type="dxa"/>
          </w:tcPr>
          <w:p w14:paraId="7CD97410" w14:textId="7CE1102E"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Dihydropyridines, n</w:t>
            </w:r>
          </w:p>
        </w:tc>
        <w:tc>
          <w:tcPr>
            <w:tcW w:w="2139" w:type="dxa"/>
          </w:tcPr>
          <w:p w14:paraId="3D468658" w14:textId="077FEC86"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6</w:t>
            </w:r>
          </w:p>
        </w:tc>
        <w:tc>
          <w:tcPr>
            <w:tcW w:w="2287" w:type="dxa"/>
          </w:tcPr>
          <w:p w14:paraId="559CB39C" w14:textId="39AE82DB"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7</w:t>
            </w:r>
          </w:p>
        </w:tc>
        <w:tc>
          <w:tcPr>
            <w:tcW w:w="2238" w:type="dxa"/>
          </w:tcPr>
          <w:p w14:paraId="77A3591C" w14:textId="1A697028" w:rsidR="00B747AE" w:rsidRPr="00BC5952" w:rsidRDefault="004C0760"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0.541</w:t>
            </w:r>
          </w:p>
        </w:tc>
      </w:tr>
      <w:tr w:rsidR="00B747AE" w:rsidRPr="00BC5952" w14:paraId="6637260F" w14:textId="77777777" w:rsidTr="007309ED">
        <w:tc>
          <w:tcPr>
            <w:tcW w:w="2362" w:type="dxa"/>
          </w:tcPr>
          <w:p w14:paraId="6CC1FF5C" w14:textId="5CE5D053"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Diuretics, n</w:t>
            </w:r>
          </w:p>
        </w:tc>
        <w:tc>
          <w:tcPr>
            <w:tcW w:w="2139" w:type="dxa"/>
          </w:tcPr>
          <w:p w14:paraId="696E6AE6" w14:textId="01779D16"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6</w:t>
            </w:r>
          </w:p>
        </w:tc>
        <w:tc>
          <w:tcPr>
            <w:tcW w:w="2287" w:type="dxa"/>
          </w:tcPr>
          <w:p w14:paraId="4C07EAC5" w14:textId="65C755DB"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13*</w:t>
            </w:r>
          </w:p>
        </w:tc>
        <w:tc>
          <w:tcPr>
            <w:tcW w:w="2238" w:type="dxa"/>
          </w:tcPr>
          <w:p w14:paraId="66C67303" w14:textId="34A9D704" w:rsidR="00B747AE" w:rsidRPr="00BC5952" w:rsidRDefault="004C0760"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0.021</w:t>
            </w:r>
          </w:p>
        </w:tc>
      </w:tr>
      <w:tr w:rsidR="00B747AE" w:rsidRPr="00BC5952" w14:paraId="49B1D997" w14:textId="77777777" w:rsidTr="007309ED">
        <w:tc>
          <w:tcPr>
            <w:tcW w:w="2362" w:type="dxa"/>
            <w:tcBorders>
              <w:bottom w:val="none" w:sz="4" w:space="0" w:color="000000"/>
            </w:tcBorders>
          </w:tcPr>
          <w:p w14:paraId="6CBC03D5" w14:textId="4265FF0F"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Nitrates, n</w:t>
            </w:r>
          </w:p>
        </w:tc>
        <w:tc>
          <w:tcPr>
            <w:tcW w:w="2139" w:type="dxa"/>
            <w:tcBorders>
              <w:bottom w:val="none" w:sz="4" w:space="0" w:color="000000"/>
            </w:tcBorders>
          </w:tcPr>
          <w:p w14:paraId="03EC0249" w14:textId="5F87FEB2"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cs="Calibri"/>
                <w:szCs w:val="24"/>
                <w:lang w:val="en-US"/>
              </w:rPr>
              <w:t>1</w:t>
            </w:r>
          </w:p>
        </w:tc>
        <w:tc>
          <w:tcPr>
            <w:tcW w:w="2287" w:type="dxa"/>
            <w:tcBorders>
              <w:bottom w:val="none" w:sz="4" w:space="0" w:color="000000"/>
            </w:tcBorders>
          </w:tcPr>
          <w:p w14:paraId="10206065" w14:textId="4577AB50"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w:t>
            </w:r>
          </w:p>
        </w:tc>
        <w:tc>
          <w:tcPr>
            <w:tcW w:w="2238" w:type="dxa"/>
            <w:tcBorders>
              <w:bottom w:val="none" w:sz="4" w:space="0" w:color="000000"/>
            </w:tcBorders>
          </w:tcPr>
          <w:p w14:paraId="451ECD2C" w14:textId="226593B4" w:rsidR="00B747AE" w:rsidRPr="00BC5952" w:rsidRDefault="004C0760"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1.000</w:t>
            </w:r>
          </w:p>
        </w:tc>
      </w:tr>
      <w:tr w:rsidR="00B747AE" w:rsidRPr="00BC5952" w14:paraId="620F31DD" w14:textId="77777777" w:rsidTr="007309ED">
        <w:tc>
          <w:tcPr>
            <w:tcW w:w="2362" w:type="dxa"/>
            <w:tcBorders>
              <w:top w:val="none" w:sz="4" w:space="0" w:color="000000"/>
              <w:bottom w:val="single" w:sz="12" w:space="0" w:color="000000"/>
            </w:tcBorders>
          </w:tcPr>
          <w:p w14:paraId="46F55012" w14:textId="1CDFA893" w:rsidR="00B747AE" w:rsidRPr="00BC5952" w:rsidRDefault="00B747AE" w:rsidP="00D71957">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Lipid-lowering drugs, n</w:t>
            </w:r>
          </w:p>
        </w:tc>
        <w:tc>
          <w:tcPr>
            <w:tcW w:w="2139" w:type="dxa"/>
            <w:tcBorders>
              <w:top w:val="none" w:sz="4" w:space="0" w:color="000000"/>
              <w:bottom w:val="single" w:sz="12" w:space="0" w:color="000000"/>
            </w:tcBorders>
          </w:tcPr>
          <w:p w14:paraId="4C0D90B0" w14:textId="42EDEDAF"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23</w:t>
            </w:r>
          </w:p>
        </w:tc>
        <w:tc>
          <w:tcPr>
            <w:tcW w:w="2287" w:type="dxa"/>
            <w:tcBorders>
              <w:top w:val="none" w:sz="4" w:space="0" w:color="000000"/>
              <w:bottom w:val="single" w:sz="12" w:space="0" w:color="000000"/>
            </w:tcBorders>
          </w:tcPr>
          <w:p w14:paraId="3F749B16" w14:textId="4C92740F" w:rsidR="00B747AE" w:rsidRPr="00BC5952" w:rsidRDefault="00B747AE"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17</w:t>
            </w:r>
          </w:p>
        </w:tc>
        <w:tc>
          <w:tcPr>
            <w:tcW w:w="2238" w:type="dxa"/>
            <w:tcBorders>
              <w:top w:val="none" w:sz="4" w:space="0" w:color="000000"/>
              <w:bottom w:val="single" w:sz="12" w:space="0" w:color="000000"/>
            </w:tcBorders>
          </w:tcPr>
          <w:p w14:paraId="776E6B16" w14:textId="4C0E099A" w:rsidR="00B747AE" w:rsidRPr="00BC5952" w:rsidRDefault="004C0760" w:rsidP="00D71957">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0.510</w:t>
            </w:r>
          </w:p>
        </w:tc>
      </w:tr>
    </w:tbl>
    <w:p w14:paraId="6FD53DA8" w14:textId="776987B1" w:rsidR="00A37A1F" w:rsidRPr="004A4E01" w:rsidRDefault="00B747AE" w:rsidP="004A4E01">
      <w:pPr>
        <w:spacing w:after="0" w:line="240" w:lineRule="auto"/>
        <w:rPr>
          <w:lang w:val="en-US"/>
        </w:rPr>
      </w:pPr>
      <w:r w:rsidRPr="00BC5952">
        <w:rPr>
          <w:lang w:val="en-US"/>
        </w:rPr>
        <w:t>ACE, angiotensin-converting enzyme; AT, angiotensin receptor; CAD, coronary artery</w:t>
      </w:r>
      <w:r w:rsidRPr="00AE4820">
        <w:rPr>
          <w:lang w:val="en-US"/>
        </w:rPr>
        <w:t xml:space="preserve"> disease; LVEF, left ventricular ejection fraction; MVD/AVD, mitral/aortic valve disease. Continuous data are expressed as mean </w:t>
      </w:r>
      <w:r w:rsidRPr="00AE4820">
        <w:rPr>
          <w:rFonts w:ascii="Symbol" w:eastAsia="Symbol" w:hAnsi="Symbol" w:cs="Symbol"/>
          <w:lang w:val="en-US"/>
        </w:rPr>
        <w:t></w:t>
      </w:r>
      <w:r w:rsidRPr="00AE4820">
        <w:rPr>
          <w:lang w:val="en-US"/>
        </w:rPr>
        <w:t xml:space="preserve"> SEM. *</w:t>
      </w:r>
      <w:r w:rsidRPr="00AE4820">
        <w:rPr>
          <w:i/>
          <w:lang w:val="en-US"/>
        </w:rPr>
        <w:t>p</w:t>
      </w:r>
      <w:r w:rsidRPr="00AE4820">
        <w:rPr>
          <w:lang w:val="en-US"/>
        </w:rPr>
        <w:t xml:space="preserve"> &lt; 0.05 and **</w:t>
      </w:r>
      <w:r w:rsidRPr="00AE4820">
        <w:rPr>
          <w:i/>
          <w:lang w:val="en-US"/>
        </w:rPr>
        <w:t>p</w:t>
      </w:r>
      <w:r w:rsidRPr="00AE4820">
        <w:rPr>
          <w:lang w:val="en-US"/>
        </w:rPr>
        <w:t xml:space="preserve"> &lt; 0.01. Comparison was made using Student’s t-test and Fisher’s exact test for continuous and categorical data, respectively.</w:t>
      </w:r>
      <w:r w:rsidR="00A37A1F">
        <w:rPr>
          <w:rFonts w:cs="Calibri"/>
          <w:sz w:val="32"/>
          <w:highlight w:val="yellow"/>
          <w:lang w:val="en-US"/>
        </w:rPr>
        <w:br w:type="page"/>
      </w:r>
    </w:p>
    <w:p w14:paraId="5B0A08B9" w14:textId="2AE60238" w:rsidR="00506CB5" w:rsidRPr="00BC5952" w:rsidRDefault="00506CB5" w:rsidP="00506CB5">
      <w:pPr>
        <w:pageBreakBefore/>
        <w:spacing w:after="0"/>
        <w:rPr>
          <w:b/>
          <w:bCs/>
          <w:color w:val="000000" w:themeColor="text1"/>
          <w:sz w:val="24"/>
          <w:szCs w:val="24"/>
          <w:lang w:val="en-US"/>
        </w:rPr>
      </w:pPr>
      <w:r w:rsidRPr="00BC5952">
        <w:rPr>
          <w:b/>
          <w:bCs/>
          <w:color w:val="000000" w:themeColor="text1"/>
          <w:sz w:val="24"/>
          <w:szCs w:val="24"/>
          <w:lang w:val="en-US"/>
        </w:rPr>
        <w:lastRenderedPageBreak/>
        <w:t>Table S</w:t>
      </w:r>
      <w:r w:rsidR="00594E68" w:rsidRPr="001127A1">
        <w:rPr>
          <w:b/>
          <w:bCs/>
          <w:color w:val="000000" w:themeColor="text1"/>
          <w:sz w:val="24"/>
          <w:szCs w:val="24"/>
          <w:lang w:val="en-US"/>
        </w:rPr>
        <w:t>5</w:t>
      </w:r>
      <w:r w:rsidRPr="00BC5952">
        <w:rPr>
          <w:b/>
          <w:bCs/>
          <w:color w:val="000000" w:themeColor="text1"/>
          <w:sz w:val="24"/>
          <w:szCs w:val="24"/>
          <w:lang w:val="en-US"/>
        </w:rPr>
        <w:t>. Characteristics of patients involved in histological analysis</w:t>
      </w:r>
    </w:p>
    <w:tbl>
      <w:tblPr>
        <w:tblW w:w="9026" w:type="dxa"/>
        <w:tblBorders>
          <w:top w:val="single" w:sz="12" w:space="0" w:color="008000"/>
          <w:bottom w:val="single" w:sz="12" w:space="0" w:color="008000"/>
        </w:tblBorders>
        <w:tblLook w:val="00A0" w:firstRow="1" w:lastRow="0" w:firstColumn="1" w:lastColumn="0" w:noHBand="0" w:noVBand="0"/>
      </w:tblPr>
      <w:tblGrid>
        <w:gridCol w:w="2362"/>
        <w:gridCol w:w="2139"/>
        <w:gridCol w:w="2287"/>
        <w:gridCol w:w="2238"/>
      </w:tblGrid>
      <w:tr w:rsidR="00506CB5" w:rsidRPr="00BC5952" w14:paraId="514E129F" w14:textId="77777777" w:rsidTr="00BC5952">
        <w:tc>
          <w:tcPr>
            <w:tcW w:w="2362" w:type="dxa"/>
            <w:tcBorders>
              <w:top w:val="single" w:sz="12" w:space="0" w:color="auto"/>
              <w:bottom w:val="nil"/>
            </w:tcBorders>
          </w:tcPr>
          <w:p w14:paraId="2AFD926D" w14:textId="77777777" w:rsidR="00506CB5" w:rsidRPr="00BC5952" w:rsidRDefault="00506CB5" w:rsidP="00F42524">
            <w:pPr>
              <w:widowControl w:val="0"/>
              <w:spacing w:before="60" w:after="60" w:line="240" w:lineRule="auto"/>
              <w:rPr>
                <w:rFonts w:eastAsia="Times New Roman" w:cs="Calibri"/>
                <w:szCs w:val="24"/>
                <w:lang w:val="en-US" w:eastAsia="de-DE"/>
              </w:rPr>
            </w:pPr>
          </w:p>
        </w:tc>
        <w:tc>
          <w:tcPr>
            <w:tcW w:w="2139" w:type="dxa"/>
            <w:tcBorders>
              <w:top w:val="single" w:sz="12" w:space="0" w:color="auto"/>
              <w:bottom w:val="nil"/>
            </w:tcBorders>
          </w:tcPr>
          <w:p w14:paraId="5CE724AE" w14:textId="77777777" w:rsidR="00506CB5" w:rsidRPr="00BC5952" w:rsidRDefault="00506CB5" w:rsidP="00F42524">
            <w:pPr>
              <w:widowControl w:val="0"/>
              <w:spacing w:before="60" w:after="60" w:line="240" w:lineRule="auto"/>
              <w:jc w:val="center"/>
              <w:rPr>
                <w:rFonts w:eastAsia="Times New Roman" w:cs="Calibri"/>
                <w:b/>
                <w:szCs w:val="24"/>
                <w:lang w:val="en-US" w:eastAsia="de-DE"/>
              </w:rPr>
            </w:pPr>
            <w:r w:rsidRPr="00BC5952">
              <w:rPr>
                <w:rFonts w:eastAsia="Times New Roman" w:cs="Calibri"/>
                <w:b/>
                <w:szCs w:val="24"/>
                <w:lang w:val="en-US" w:eastAsia="de-DE"/>
              </w:rPr>
              <w:t>Ctrl</w:t>
            </w:r>
          </w:p>
        </w:tc>
        <w:tc>
          <w:tcPr>
            <w:tcW w:w="2287" w:type="dxa"/>
            <w:tcBorders>
              <w:top w:val="single" w:sz="12" w:space="0" w:color="auto"/>
              <w:bottom w:val="nil"/>
            </w:tcBorders>
          </w:tcPr>
          <w:p w14:paraId="2A77132F" w14:textId="77777777" w:rsidR="00506CB5" w:rsidRPr="00BC5952" w:rsidRDefault="00506CB5" w:rsidP="00F42524">
            <w:pPr>
              <w:widowControl w:val="0"/>
              <w:spacing w:before="60" w:after="60" w:line="240" w:lineRule="auto"/>
              <w:jc w:val="center"/>
              <w:rPr>
                <w:rFonts w:eastAsia="Times New Roman" w:cs="Calibri"/>
                <w:b/>
                <w:szCs w:val="24"/>
                <w:lang w:val="en-US" w:eastAsia="de-DE"/>
              </w:rPr>
            </w:pPr>
            <w:proofErr w:type="spellStart"/>
            <w:r w:rsidRPr="00BC5952">
              <w:rPr>
                <w:rFonts w:eastAsia="Times New Roman" w:cs="Calibri"/>
                <w:b/>
                <w:szCs w:val="24"/>
                <w:lang w:val="en-US" w:eastAsia="de-DE"/>
              </w:rPr>
              <w:t>persAF</w:t>
            </w:r>
            <w:proofErr w:type="spellEnd"/>
          </w:p>
        </w:tc>
        <w:tc>
          <w:tcPr>
            <w:tcW w:w="2238" w:type="dxa"/>
            <w:vMerge w:val="restart"/>
            <w:tcBorders>
              <w:top w:val="single" w:sz="12" w:space="0" w:color="auto"/>
            </w:tcBorders>
            <w:vAlign w:val="center"/>
          </w:tcPr>
          <w:p w14:paraId="3527C219" w14:textId="77777777" w:rsidR="00506CB5" w:rsidRPr="00BC5952" w:rsidRDefault="00506CB5" w:rsidP="00F42524">
            <w:pPr>
              <w:widowControl w:val="0"/>
              <w:spacing w:before="60" w:after="60" w:line="240" w:lineRule="auto"/>
              <w:jc w:val="center"/>
              <w:rPr>
                <w:rFonts w:eastAsia="Times New Roman" w:cs="Calibri"/>
                <w:b/>
                <w:szCs w:val="24"/>
                <w:lang w:val="en-US" w:eastAsia="de-DE"/>
              </w:rPr>
            </w:pPr>
            <w:r w:rsidRPr="00BC5952">
              <w:rPr>
                <w:rFonts w:eastAsia="Times New Roman" w:cs="Calibri"/>
                <w:b/>
                <w:i/>
                <w:szCs w:val="24"/>
                <w:lang w:val="en-US" w:eastAsia="de-DE"/>
              </w:rPr>
              <w:t>p</w:t>
            </w:r>
            <w:r w:rsidRPr="00BC5952">
              <w:rPr>
                <w:rFonts w:eastAsia="Times New Roman" w:cs="Calibri"/>
                <w:b/>
                <w:szCs w:val="24"/>
                <w:lang w:val="en-US" w:eastAsia="de-DE"/>
              </w:rPr>
              <w:t xml:space="preserve"> value</w:t>
            </w:r>
          </w:p>
        </w:tc>
      </w:tr>
      <w:tr w:rsidR="00506CB5" w:rsidRPr="00BC5952" w14:paraId="1F57BDDE" w14:textId="77777777" w:rsidTr="00BC5952">
        <w:tc>
          <w:tcPr>
            <w:tcW w:w="2362" w:type="dxa"/>
            <w:tcBorders>
              <w:top w:val="nil"/>
              <w:bottom w:val="single" w:sz="12" w:space="0" w:color="auto"/>
            </w:tcBorders>
          </w:tcPr>
          <w:p w14:paraId="3B2D39ED" w14:textId="77777777" w:rsidR="00506CB5" w:rsidRPr="00BC5952" w:rsidRDefault="00506CB5" w:rsidP="00F42524">
            <w:pPr>
              <w:widowControl w:val="0"/>
              <w:spacing w:before="60" w:after="60" w:line="240" w:lineRule="auto"/>
              <w:rPr>
                <w:rFonts w:eastAsia="Times New Roman" w:cs="Calibri"/>
                <w:szCs w:val="24"/>
                <w:lang w:val="en-US" w:eastAsia="de-DE"/>
              </w:rPr>
            </w:pPr>
          </w:p>
        </w:tc>
        <w:tc>
          <w:tcPr>
            <w:tcW w:w="2139" w:type="dxa"/>
            <w:tcBorders>
              <w:top w:val="nil"/>
              <w:bottom w:val="single" w:sz="12" w:space="0" w:color="auto"/>
            </w:tcBorders>
          </w:tcPr>
          <w:p w14:paraId="5113FC9B" w14:textId="77777777" w:rsidR="00506CB5" w:rsidRPr="00BC5952" w:rsidRDefault="00506CB5" w:rsidP="00F42524">
            <w:pPr>
              <w:widowControl w:val="0"/>
              <w:spacing w:before="60" w:after="60" w:line="240" w:lineRule="auto"/>
              <w:jc w:val="center"/>
              <w:rPr>
                <w:rFonts w:eastAsia="Times New Roman" w:cs="Calibri"/>
                <w:b/>
                <w:szCs w:val="24"/>
                <w:lang w:val="en-US" w:eastAsia="de-DE"/>
              </w:rPr>
            </w:pPr>
            <w:r w:rsidRPr="00BC5952">
              <w:rPr>
                <w:rFonts w:eastAsia="Times New Roman" w:cs="Calibri"/>
                <w:b/>
                <w:szCs w:val="24"/>
                <w:lang w:val="en-US" w:eastAsia="de-DE"/>
              </w:rPr>
              <w:t>(n=13)</w:t>
            </w:r>
          </w:p>
        </w:tc>
        <w:tc>
          <w:tcPr>
            <w:tcW w:w="2287" w:type="dxa"/>
            <w:tcBorders>
              <w:top w:val="nil"/>
              <w:bottom w:val="single" w:sz="12" w:space="0" w:color="auto"/>
            </w:tcBorders>
          </w:tcPr>
          <w:p w14:paraId="06CEB967" w14:textId="77777777" w:rsidR="00506CB5" w:rsidRPr="00BC5952" w:rsidRDefault="00506CB5" w:rsidP="00F42524">
            <w:pPr>
              <w:widowControl w:val="0"/>
              <w:spacing w:before="60" w:after="60" w:line="240" w:lineRule="auto"/>
              <w:jc w:val="center"/>
              <w:rPr>
                <w:rFonts w:eastAsia="Times New Roman" w:cs="Calibri"/>
                <w:b/>
                <w:szCs w:val="24"/>
                <w:lang w:val="en-US" w:eastAsia="de-DE"/>
              </w:rPr>
            </w:pPr>
            <w:r w:rsidRPr="00BC5952">
              <w:rPr>
                <w:rFonts w:eastAsia="Times New Roman" w:cs="Calibri"/>
                <w:b/>
                <w:szCs w:val="24"/>
                <w:lang w:val="en-US" w:eastAsia="de-DE"/>
              </w:rPr>
              <w:t>(n=6)</w:t>
            </w:r>
          </w:p>
        </w:tc>
        <w:tc>
          <w:tcPr>
            <w:tcW w:w="2238" w:type="dxa"/>
            <w:vMerge/>
            <w:tcBorders>
              <w:bottom w:val="single" w:sz="12" w:space="0" w:color="auto"/>
            </w:tcBorders>
            <w:shd w:val="clear" w:color="auto" w:fill="FFFF00"/>
            <w:vAlign w:val="center"/>
          </w:tcPr>
          <w:p w14:paraId="43AB57E5" w14:textId="77777777" w:rsidR="00506CB5" w:rsidRPr="00BC5952" w:rsidRDefault="00506CB5" w:rsidP="00F42524">
            <w:pPr>
              <w:widowControl w:val="0"/>
              <w:spacing w:before="60" w:after="60" w:line="240" w:lineRule="auto"/>
              <w:jc w:val="center"/>
              <w:rPr>
                <w:rFonts w:eastAsia="Times New Roman" w:cs="Calibri"/>
                <w:b/>
                <w:i/>
                <w:szCs w:val="24"/>
                <w:lang w:val="en-US" w:eastAsia="de-DE"/>
              </w:rPr>
            </w:pPr>
          </w:p>
        </w:tc>
      </w:tr>
      <w:tr w:rsidR="00506CB5" w:rsidRPr="00BC5952" w14:paraId="24F1AD9C" w14:textId="77777777" w:rsidTr="00F42524">
        <w:tc>
          <w:tcPr>
            <w:tcW w:w="2362" w:type="dxa"/>
            <w:tcBorders>
              <w:top w:val="single" w:sz="12" w:space="0" w:color="auto"/>
            </w:tcBorders>
          </w:tcPr>
          <w:p w14:paraId="041BA0AE"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Sex, male/female</w:t>
            </w:r>
          </w:p>
        </w:tc>
        <w:tc>
          <w:tcPr>
            <w:tcW w:w="2139" w:type="dxa"/>
            <w:tcBorders>
              <w:top w:val="single" w:sz="12" w:space="0" w:color="auto"/>
            </w:tcBorders>
          </w:tcPr>
          <w:p w14:paraId="32EFDB13"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cs="Calibri"/>
                <w:szCs w:val="24"/>
                <w:lang w:val="en-US"/>
              </w:rPr>
              <w:t>13/0</w:t>
            </w:r>
          </w:p>
        </w:tc>
        <w:tc>
          <w:tcPr>
            <w:tcW w:w="2287" w:type="dxa"/>
            <w:tcBorders>
              <w:top w:val="single" w:sz="12" w:space="0" w:color="auto"/>
            </w:tcBorders>
          </w:tcPr>
          <w:p w14:paraId="36B433A8"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cs="Calibri"/>
                <w:szCs w:val="24"/>
                <w:lang w:val="en-US"/>
              </w:rPr>
              <w:t>4/2</w:t>
            </w:r>
          </w:p>
        </w:tc>
        <w:tc>
          <w:tcPr>
            <w:tcW w:w="2238" w:type="dxa"/>
            <w:tcBorders>
              <w:top w:val="single" w:sz="12" w:space="0" w:color="auto"/>
            </w:tcBorders>
          </w:tcPr>
          <w:p w14:paraId="3A2E8002" w14:textId="77777777" w:rsidR="00506CB5" w:rsidRPr="00BC5952" w:rsidRDefault="00506CB5" w:rsidP="00F42524">
            <w:pPr>
              <w:widowControl w:val="0"/>
              <w:spacing w:before="60" w:after="60" w:line="240" w:lineRule="auto"/>
              <w:jc w:val="center"/>
              <w:rPr>
                <w:rFonts w:cs="Calibri"/>
                <w:szCs w:val="24"/>
                <w:lang w:val="en-US"/>
              </w:rPr>
            </w:pPr>
            <w:r w:rsidRPr="00BC5952">
              <w:rPr>
                <w:rFonts w:cs="Calibri"/>
                <w:szCs w:val="24"/>
                <w:lang w:val="en-US"/>
              </w:rPr>
              <w:t>0.088</w:t>
            </w:r>
          </w:p>
        </w:tc>
      </w:tr>
      <w:tr w:rsidR="00506CB5" w:rsidRPr="00BC5952" w14:paraId="24803673" w14:textId="77777777" w:rsidTr="00F42524">
        <w:tc>
          <w:tcPr>
            <w:tcW w:w="2362" w:type="dxa"/>
          </w:tcPr>
          <w:p w14:paraId="669E0E30"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Age, y</w:t>
            </w:r>
          </w:p>
        </w:tc>
        <w:tc>
          <w:tcPr>
            <w:tcW w:w="2139" w:type="dxa"/>
          </w:tcPr>
          <w:p w14:paraId="58934371"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cs="Calibri"/>
                <w:szCs w:val="24"/>
                <w:lang w:val="en-US"/>
              </w:rPr>
              <w:t xml:space="preserve">62.9 </w:t>
            </w:r>
            <w:r w:rsidRPr="00BC5952">
              <w:rPr>
                <w:rFonts w:ascii="Symbol" w:eastAsia="Symbol" w:hAnsi="Symbol" w:cs="Symbol"/>
                <w:szCs w:val="24"/>
                <w:lang w:val="en-US"/>
              </w:rPr>
              <w:t></w:t>
            </w:r>
            <w:r w:rsidRPr="00BC5952">
              <w:rPr>
                <w:rFonts w:ascii="Symbol" w:eastAsia="Symbol" w:hAnsi="Symbol" w:cs="Symbol"/>
                <w:szCs w:val="24"/>
                <w:lang w:val="en-US"/>
              </w:rPr>
              <w:t></w:t>
            </w:r>
            <w:r w:rsidRPr="00BC5952">
              <w:rPr>
                <w:rFonts w:ascii="Symbol" w:eastAsia="Symbol" w:hAnsi="Symbol" w:cs="Symbol"/>
                <w:szCs w:val="24"/>
                <w:lang w:val="en-US"/>
              </w:rPr>
              <w:t></w:t>
            </w:r>
            <w:r w:rsidRPr="00BC5952">
              <w:rPr>
                <w:rFonts w:cs="Calibri"/>
                <w:szCs w:val="24"/>
                <w:lang w:val="en-US"/>
              </w:rPr>
              <w:t>.0</w:t>
            </w:r>
          </w:p>
        </w:tc>
        <w:tc>
          <w:tcPr>
            <w:tcW w:w="2287" w:type="dxa"/>
          </w:tcPr>
          <w:p w14:paraId="248F377F"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cs="Calibri"/>
                <w:szCs w:val="24"/>
                <w:lang w:val="en-US"/>
              </w:rPr>
              <w:t xml:space="preserve">71.3 </w:t>
            </w:r>
            <w:r w:rsidRPr="00BC5952">
              <w:rPr>
                <w:rFonts w:ascii="Symbol" w:eastAsia="Symbol" w:hAnsi="Symbol" w:cs="Symbol"/>
                <w:szCs w:val="24"/>
                <w:lang w:val="en-US"/>
              </w:rPr>
              <w:t></w:t>
            </w:r>
            <w:r w:rsidRPr="00BC5952">
              <w:rPr>
                <w:rFonts w:cs="Calibri"/>
                <w:szCs w:val="24"/>
                <w:lang w:val="en-US"/>
              </w:rPr>
              <w:t xml:space="preserve"> 2.6</w:t>
            </w:r>
          </w:p>
        </w:tc>
        <w:tc>
          <w:tcPr>
            <w:tcW w:w="2238" w:type="dxa"/>
          </w:tcPr>
          <w:p w14:paraId="2550B6C4" w14:textId="77777777" w:rsidR="00506CB5" w:rsidRPr="00BC5952" w:rsidRDefault="00506CB5" w:rsidP="00F42524">
            <w:pPr>
              <w:widowControl w:val="0"/>
              <w:spacing w:before="60" w:after="60" w:line="240" w:lineRule="auto"/>
              <w:jc w:val="center"/>
              <w:rPr>
                <w:rFonts w:cs="Calibri"/>
                <w:szCs w:val="24"/>
                <w:lang w:val="en-US"/>
              </w:rPr>
            </w:pPr>
            <w:r w:rsidRPr="00BC5952">
              <w:rPr>
                <w:rFonts w:cs="Calibri"/>
                <w:szCs w:val="24"/>
                <w:lang w:val="en-US"/>
              </w:rPr>
              <w:t>0.094</w:t>
            </w:r>
          </w:p>
        </w:tc>
      </w:tr>
      <w:tr w:rsidR="00506CB5" w:rsidRPr="00BC5952" w14:paraId="56CEEDE3" w14:textId="77777777" w:rsidTr="00F42524">
        <w:tc>
          <w:tcPr>
            <w:tcW w:w="2362" w:type="dxa"/>
          </w:tcPr>
          <w:p w14:paraId="65B5AAEC"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Body mass index, kg/m</w:t>
            </w:r>
            <w:r w:rsidRPr="00BC5952">
              <w:rPr>
                <w:rFonts w:eastAsia="Times New Roman" w:cs="Calibri"/>
                <w:szCs w:val="24"/>
                <w:vertAlign w:val="superscript"/>
                <w:lang w:val="en-US" w:eastAsia="de-DE"/>
              </w:rPr>
              <w:t>2</w:t>
            </w:r>
          </w:p>
        </w:tc>
        <w:tc>
          <w:tcPr>
            <w:tcW w:w="2139" w:type="dxa"/>
          </w:tcPr>
          <w:p w14:paraId="056B1513"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cs="Calibri"/>
                <w:szCs w:val="24"/>
                <w:lang w:val="en-US"/>
              </w:rPr>
              <w:t xml:space="preserve">28.7 </w:t>
            </w:r>
            <w:r w:rsidRPr="00BC5952">
              <w:rPr>
                <w:rFonts w:ascii="Symbol" w:eastAsia="Symbol" w:hAnsi="Symbol" w:cs="Symbol"/>
                <w:szCs w:val="24"/>
                <w:lang w:val="en-US"/>
              </w:rPr>
              <w:t></w:t>
            </w:r>
            <w:r w:rsidRPr="00BC5952">
              <w:rPr>
                <w:rFonts w:cs="Calibri"/>
                <w:szCs w:val="24"/>
                <w:lang w:val="en-US"/>
              </w:rPr>
              <w:t xml:space="preserve"> 1.3</w:t>
            </w:r>
          </w:p>
        </w:tc>
        <w:tc>
          <w:tcPr>
            <w:tcW w:w="2287" w:type="dxa"/>
          </w:tcPr>
          <w:p w14:paraId="78143E9C"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cs="Calibri"/>
                <w:szCs w:val="24"/>
                <w:lang w:val="en-US"/>
              </w:rPr>
              <w:t xml:space="preserve">29.8 </w:t>
            </w:r>
            <w:r w:rsidRPr="00BC5952">
              <w:rPr>
                <w:rFonts w:ascii="Symbol" w:eastAsia="Symbol" w:hAnsi="Symbol" w:cs="Symbol"/>
                <w:szCs w:val="24"/>
                <w:lang w:val="en-US"/>
              </w:rPr>
              <w:t></w:t>
            </w:r>
            <w:r w:rsidRPr="00BC5952">
              <w:rPr>
                <w:rFonts w:cs="Calibri"/>
                <w:szCs w:val="24"/>
                <w:lang w:val="en-US"/>
              </w:rPr>
              <w:t xml:space="preserve"> 2.0</w:t>
            </w:r>
          </w:p>
        </w:tc>
        <w:tc>
          <w:tcPr>
            <w:tcW w:w="2238" w:type="dxa"/>
          </w:tcPr>
          <w:p w14:paraId="3BB2D62A" w14:textId="77777777" w:rsidR="00506CB5" w:rsidRPr="00BC5952" w:rsidRDefault="00506CB5" w:rsidP="00F42524">
            <w:pPr>
              <w:widowControl w:val="0"/>
              <w:spacing w:before="60" w:after="60" w:line="240" w:lineRule="auto"/>
              <w:jc w:val="center"/>
              <w:rPr>
                <w:rFonts w:cs="Calibri"/>
                <w:szCs w:val="24"/>
                <w:lang w:val="en-US"/>
              </w:rPr>
            </w:pPr>
            <w:r w:rsidRPr="00BC5952">
              <w:rPr>
                <w:rFonts w:cs="Calibri"/>
                <w:szCs w:val="24"/>
                <w:lang w:val="en-US"/>
              </w:rPr>
              <w:t>0.644</w:t>
            </w:r>
          </w:p>
        </w:tc>
      </w:tr>
      <w:tr w:rsidR="00506CB5" w:rsidRPr="00BC5952" w14:paraId="172E31AE" w14:textId="77777777" w:rsidTr="00F42524">
        <w:tc>
          <w:tcPr>
            <w:tcW w:w="2362" w:type="dxa"/>
          </w:tcPr>
          <w:p w14:paraId="5B88F521" w14:textId="77777777" w:rsidR="00506CB5" w:rsidRPr="00BC5952" w:rsidRDefault="00506CB5" w:rsidP="00F42524">
            <w:pPr>
              <w:widowControl w:val="0"/>
              <w:spacing w:before="60" w:after="60" w:line="240" w:lineRule="auto"/>
              <w:rPr>
                <w:rFonts w:eastAsia="Times New Roman" w:cs="Calibri"/>
                <w:szCs w:val="24"/>
                <w:lang w:val="en-US" w:eastAsia="de-DE"/>
              </w:rPr>
            </w:pPr>
          </w:p>
        </w:tc>
        <w:tc>
          <w:tcPr>
            <w:tcW w:w="2139" w:type="dxa"/>
          </w:tcPr>
          <w:p w14:paraId="3030E0C2"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p>
        </w:tc>
        <w:tc>
          <w:tcPr>
            <w:tcW w:w="2287" w:type="dxa"/>
          </w:tcPr>
          <w:p w14:paraId="5E2B5049"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p>
        </w:tc>
        <w:tc>
          <w:tcPr>
            <w:tcW w:w="2238" w:type="dxa"/>
          </w:tcPr>
          <w:p w14:paraId="3EB3EA3E"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p>
        </w:tc>
      </w:tr>
      <w:tr w:rsidR="00506CB5" w:rsidRPr="00BC5952" w14:paraId="1BC93BFA" w14:textId="77777777" w:rsidTr="00F42524">
        <w:tc>
          <w:tcPr>
            <w:tcW w:w="2362" w:type="dxa"/>
          </w:tcPr>
          <w:p w14:paraId="62349BED"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CAD, n</w:t>
            </w:r>
          </w:p>
        </w:tc>
        <w:tc>
          <w:tcPr>
            <w:tcW w:w="2139" w:type="dxa"/>
          </w:tcPr>
          <w:p w14:paraId="174ECA63"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11</w:t>
            </w:r>
          </w:p>
        </w:tc>
        <w:tc>
          <w:tcPr>
            <w:tcW w:w="2287" w:type="dxa"/>
          </w:tcPr>
          <w:p w14:paraId="44B6F209"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w:t>
            </w:r>
          </w:p>
        </w:tc>
        <w:tc>
          <w:tcPr>
            <w:tcW w:w="2238" w:type="dxa"/>
          </w:tcPr>
          <w:p w14:paraId="39701458"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0.010</w:t>
            </w:r>
          </w:p>
        </w:tc>
      </w:tr>
      <w:tr w:rsidR="00506CB5" w:rsidRPr="00BC5952" w14:paraId="0E7CCDE9" w14:textId="77777777" w:rsidTr="00F42524">
        <w:tc>
          <w:tcPr>
            <w:tcW w:w="2362" w:type="dxa"/>
          </w:tcPr>
          <w:p w14:paraId="120EAEA7"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MVD/AVD, n</w:t>
            </w:r>
          </w:p>
        </w:tc>
        <w:tc>
          <w:tcPr>
            <w:tcW w:w="2139" w:type="dxa"/>
          </w:tcPr>
          <w:p w14:paraId="584F056C"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w:t>
            </w:r>
          </w:p>
        </w:tc>
        <w:tc>
          <w:tcPr>
            <w:tcW w:w="2287" w:type="dxa"/>
          </w:tcPr>
          <w:p w14:paraId="6A8FE862"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3*</w:t>
            </w:r>
          </w:p>
        </w:tc>
        <w:tc>
          <w:tcPr>
            <w:tcW w:w="2238" w:type="dxa"/>
          </w:tcPr>
          <w:p w14:paraId="2DD2E3E0"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0.021</w:t>
            </w:r>
          </w:p>
        </w:tc>
      </w:tr>
      <w:tr w:rsidR="00506CB5" w:rsidRPr="00BC5952" w14:paraId="113AF248" w14:textId="77777777" w:rsidTr="00F42524">
        <w:tc>
          <w:tcPr>
            <w:tcW w:w="2362" w:type="dxa"/>
          </w:tcPr>
          <w:p w14:paraId="64F42CB3"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CAD+MVD/AVD, n</w:t>
            </w:r>
          </w:p>
        </w:tc>
        <w:tc>
          <w:tcPr>
            <w:tcW w:w="2139" w:type="dxa"/>
          </w:tcPr>
          <w:p w14:paraId="0663ACB1"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2</w:t>
            </w:r>
          </w:p>
        </w:tc>
        <w:tc>
          <w:tcPr>
            <w:tcW w:w="2287" w:type="dxa"/>
          </w:tcPr>
          <w:p w14:paraId="38E4B7BA"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2</w:t>
            </w:r>
          </w:p>
        </w:tc>
        <w:tc>
          <w:tcPr>
            <w:tcW w:w="2238" w:type="dxa"/>
          </w:tcPr>
          <w:p w14:paraId="3969219A"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0.557</w:t>
            </w:r>
          </w:p>
        </w:tc>
      </w:tr>
      <w:tr w:rsidR="00506CB5" w:rsidRPr="00BC5952" w14:paraId="7AE30FCD" w14:textId="77777777" w:rsidTr="00F42524">
        <w:tc>
          <w:tcPr>
            <w:tcW w:w="2362" w:type="dxa"/>
          </w:tcPr>
          <w:p w14:paraId="1D6D65C3" w14:textId="77777777" w:rsidR="00506CB5" w:rsidRPr="00BC5952" w:rsidRDefault="00506CB5" w:rsidP="00F42524">
            <w:pPr>
              <w:widowControl w:val="0"/>
              <w:spacing w:before="60" w:after="60" w:line="240" w:lineRule="auto"/>
              <w:rPr>
                <w:rFonts w:eastAsia="Times New Roman" w:cs="Calibri"/>
                <w:szCs w:val="24"/>
                <w:lang w:val="en-US" w:eastAsia="de-DE"/>
              </w:rPr>
            </w:pPr>
          </w:p>
        </w:tc>
        <w:tc>
          <w:tcPr>
            <w:tcW w:w="2139" w:type="dxa"/>
          </w:tcPr>
          <w:p w14:paraId="08E5A6C3"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p>
        </w:tc>
        <w:tc>
          <w:tcPr>
            <w:tcW w:w="2287" w:type="dxa"/>
          </w:tcPr>
          <w:p w14:paraId="6D3B2DCD"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p>
        </w:tc>
        <w:tc>
          <w:tcPr>
            <w:tcW w:w="2238" w:type="dxa"/>
          </w:tcPr>
          <w:p w14:paraId="1258FCB3"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p>
        </w:tc>
      </w:tr>
      <w:tr w:rsidR="00506CB5" w:rsidRPr="00BC5952" w14:paraId="7E56743E" w14:textId="77777777" w:rsidTr="00F42524">
        <w:tc>
          <w:tcPr>
            <w:tcW w:w="2362" w:type="dxa"/>
          </w:tcPr>
          <w:p w14:paraId="73E23530"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Hypertension, n</w:t>
            </w:r>
          </w:p>
        </w:tc>
        <w:tc>
          <w:tcPr>
            <w:tcW w:w="2139" w:type="dxa"/>
          </w:tcPr>
          <w:p w14:paraId="481F6D3F"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11</w:t>
            </w:r>
          </w:p>
        </w:tc>
        <w:tc>
          <w:tcPr>
            <w:tcW w:w="2287" w:type="dxa"/>
          </w:tcPr>
          <w:p w14:paraId="78AED8A2"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4</w:t>
            </w:r>
          </w:p>
        </w:tc>
        <w:tc>
          <w:tcPr>
            <w:tcW w:w="2238" w:type="dxa"/>
          </w:tcPr>
          <w:p w14:paraId="66B9BB61"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0.557</w:t>
            </w:r>
          </w:p>
        </w:tc>
      </w:tr>
      <w:tr w:rsidR="00506CB5" w:rsidRPr="00BC5952" w14:paraId="11E46F44" w14:textId="77777777" w:rsidTr="00F42524">
        <w:tc>
          <w:tcPr>
            <w:tcW w:w="2362" w:type="dxa"/>
          </w:tcPr>
          <w:p w14:paraId="55B65FF7"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Diabetes, n</w:t>
            </w:r>
          </w:p>
        </w:tc>
        <w:tc>
          <w:tcPr>
            <w:tcW w:w="2139" w:type="dxa"/>
          </w:tcPr>
          <w:p w14:paraId="508C60DE"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5</w:t>
            </w:r>
          </w:p>
        </w:tc>
        <w:tc>
          <w:tcPr>
            <w:tcW w:w="2287" w:type="dxa"/>
          </w:tcPr>
          <w:p w14:paraId="346D1232"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2</w:t>
            </w:r>
          </w:p>
        </w:tc>
        <w:tc>
          <w:tcPr>
            <w:tcW w:w="2238" w:type="dxa"/>
          </w:tcPr>
          <w:p w14:paraId="575FD111"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1.000</w:t>
            </w:r>
          </w:p>
        </w:tc>
      </w:tr>
      <w:tr w:rsidR="00506CB5" w:rsidRPr="00BC5952" w14:paraId="2A044770" w14:textId="77777777" w:rsidTr="00F42524">
        <w:tc>
          <w:tcPr>
            <w:tcW w:w="2362" w:type="dxa"/>
          </w:tcPr>
          <w:p w14:paraId="038D4160"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Hyperlipidemia, n</w:t>
            </w:r>
          </w:p>
        </w:tc>
        <w:tc>
          <w:tcPr>
            <w:tcW w:w="2139" w:type="dxa"/>
          </w:tcPr>
          <w:p w14:paraId="5D119FCB"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9</w:t>
            </w:r>
          </w:p>
        </w:tc>
        <w:tc>
          <w:tcPr>
            <w:tcW w:w="2287" w:type="dxa"/>
          </w:tcPr>
          <w:p w14:paraId="082C1720"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w:t>
            </w:r>
          </w:p>
        </w:tc>
        <w:tc>
          <w:tcPr>
            <w:tcW w:w="2238" w:type="dxa"/>
          </w:tcPr>
          <w:p w14:paraId="1E7FDB14"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0.057</w:t>
            </w:r>
          </w:p>
        </w:tc>
      </w:tr>
      <w:tr w:rsidR="00506CB5" w:rsidRPr="00BC5952" w14:paraId="50CEE2E0" w14:textId="77777777" w:rsidTr="00F42524">
        <w:tc>
          <w:tcPr>
            <w:tcW w:w="2362" w:type="dxa"/>
          </w:tcPr>
          <w:p w14:paraId="01355DDF" w14:textId="77777777" w:rsidR="00506CB5" w:rsidRPr="00BC5952" w:rsidRDefault="00506CB5" w:rsidP="00F42524">
            <w:pPr>
              <w:widowControl w:val="0"/>
              <w:spacing w:before="60" w:after="60" w:line="240" w:lineRule="auto"/>
              <w:rPr>
                <w:rFonts w:eastAsia="Times New Roman" w:cs="Calibri"/>
                <w:szCs w:val="24"/>
                <w:lang w:val="en-US" w:eastAsia="de-DE"/>
              </w:rPr>
            </w:pPr>
          </w:p>
        </w:tc>
        <w:tc>
          <w:tcPr>
            <w:tcW w:w="2139" w:type="dxa"/>
          </w:tcPr>
          <w:p w14:paraId="775EE0BE"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p>
        </w:tc>
        <w:tc>
          <w:tcPr>
            <w:tcW w:w="2287" w:type="dxa"/>
          </w:tcPr>
          <w:p w14:paraId="0DE0C3BA"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p>
        </w:tc>
        <w:tc>
          <w:tcPr>
            <w:tcW w:w="2238" w:type="dxa"/>
          </w:tcPr>
          <w:p w14:paraId="02C16867"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p>
        </w:tc>
      </w:tr>
      <w:tr w:rsidR="00506CB5" w:rsidRPr="00BC5952" w14:paraId="1FD7CE45" w14:textId="77777777" w:rsidTr="00F42524">
        <w:tc>
          <w:tcPr>
            <w:tcW w:w="2362" w:type="dxa"/>
          </w:tcPr>
          <w:p w14:paraId="2BE292B4"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LVEF, %</w:t>
            </w:r>
          </w:p>
        </w:tc>
        <w:tc>
          <w:tcPr>
            <w:tcW w:w="2139" w:type="dxa"/>
          </w:tcPr>
          <w:p w14:paraId="2E22E061"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cs="Calibri"/>
                <w:szCs w:val="24"/>
                <w:lang w:val="en-US"/>
              </w:rPr>
              <w:t xml:space="preserve">52.1 </w:t>
            </w:r>
            <w:r w:rsidRPr="00BC5952">
              <w:rPr>
                <w:rFonts w:ascii="Symbol" w:eastAsia="Symbol" w:hAnsi="Symbol" w:cs="Symbol"/>
                <w:szCs w:val="24"/>
                <w:lang w:val="en-US"/>
              </w:rPr>
              <w:t></w:t>
            </w:r>
            <w:r w:rsidRPr="00BC5952">
              <w:rPr>
                <w:rFonts w:cs="Calibri"/>
                <w:szCs w:val="24"/>
                <w:lang w:val="en-US"/>
              </w:rPr>
              <w:t xml:space="preserve"> 5.5</w:t>
            </w:r>
          </w:p>
        </w:tc>
        <w:tc>
          <w:tcPr>
            <w:tcW w:w="2287" w:type="dxa"/>
          </w:tcPr>
          <w:p w14:paraId="0B06ACAD"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cs="Calibri"/>
                <w:szCs w:val="24"/>
                <w:lang w:val="en-US"/>
              </w:rPr>
              <w:t xml:space="preserve">50.8 </w:t>
            </w:r>
            <w:r w:rsidRPr="00BC5952">
              <w:rPr>
                <w:rFonts w:ascii="Symbol" w:eastAsia="Symbol" w:hAnsi="Symbol" w:cs="Symbol"/>
                <w:szCs w:val="24"/>
                <w:lang w:val="en-US"/>
              </w:rPr>
              <w:t></w:t>
            </w:r>
            <w:r w:rsidRPr="00BC5952">
              <w:rPr>
                <w:rFonts w:cs="Calibri"/>
                <w:szCs w:val="24"/>
                <w:lang w:val="en-US"/>
              </w:rPr>
              <w:t xml:space="preserve"> 4.1</w:t>
            </w:r>
          </w:p>
        </w:tc>
        <w:tc>
          <w:tcPr>
            <w:tcW w:w="2238" w:type="dxa"/>
          </w:tcPr>
          <w:p w14:paraId="1A1B2E9C" w14:textId="77777777" w:rsidR="00506CB5" w:rsidRPr="00BC5952" w:rsidRDefault="00506CB5" w:rsidP="00F42524">
            <w:pPr>
              <w:widowControl w:val="0"/>
              <w:spacing w:before="60" w:after="60" w:line="240" w:lineRule="auto"/>
              <w:jc w:val="center"/>
              <w:rPr>
                <w:rFonts w:cs="Calibri"/>
                <w:szCs w:val="24"/>
                <w:lang w:val="en-US"/>
              </w:rPr>
            </w:pPr>
            <w:r w:rsidRPr="00BC5952">
              <w:rPr>
                <w:rFonts w:cs="Calibri"/>
                <w:szCs w:val="24"/>
                <w:lang w:val="en-US"/>
              </w:rPr>
              <w:t>0.868</w:t>
            </w:r>
          </w:p>
        </w:tc>
      </w:tr>
      <w:tr w:rsidR="00506CB5" w:rsidRPr="00BC5952" w14:paraId="6A626209" w14:textId="77777777" w:rsidTr="00F42524">
        <w:tc>
          <w:tcPr>
            <w:tcW w:w="2362" w:type="dxa"/>
          </w:tcPr>
          <w:p w14:paraId="3510FE5D" w14:textId="77777777" w:rsidR="00506CB5" w:rsidRPr="00BC5952" w:rsidRDefault="00506CB5" w:rsidP="00F42524">
            <w:pPr>
              <w:widowControl w:val="0"/>
              <w:spacing w:before="60" w:after="60" w:line="240" w:lineRule="auto"/>
              <w:rPr>
                <w:rFonts w:eastAsia="Times New Roman" w:cs="Calibri"/>
                <w:szCs w:val="24"/>
                <w:lang w:val="en-US" w:eastAsia="de-DE"/>
              </w:rPr>
            </w:pPr>
          </w:p>
        </w:tc>
        <w:tc>
          <w:tcPr>
            <w:tcW w:w="2139" w:type="dxa"/>
          </w:tcPr>
          <w:p w14:paraId="67FB12B2"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p>
        </w:tc>
        <w:tc>
          <w:tcPr>
            <w:tcW w:w="2287" w:type="dxa"/>
          </w:tcPr>
          <w:p w14:paraId="2609197F"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p>
        </w:tc>
        <w:tc>
          <w:tcPr>
            <w:tcW w:w="2238" w:type="dxa"/>
          </w:tcPr>
          <w:p w14:paraId="4623E704"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p>
        </w:tc>
      </w:tr>
      <w:tr w:rsidR="00506CB5" w:rsidRPr="00BC5952" w14:paraId="5D9F65C2" w14:textId="77777777" w:rsidTr="00F42524">
        <w:tc>
          <w:tcPr>
            <w:tcW w:w="2362" w:type="dxa"/>
          </w:tcPr>
          <w:p w14:paraId="5B57EE73"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Digitalis, n</w:t>
            </w:r>
          </w:p>
        </w:tc>
        <w:tc>
          <w:tcPr>
            <w:tcW w:w="2139" w:type="dxa"/>
          </w:tcPr>
          <w:p w14:paraId="5763A34B"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w:t>
            </w:r>
          </w:p>
        </w:tc>
        <w:tc>
          <w:tcPr>
            <w:tcW w:w="2287" w:type="dxa"/>
          </w:tcPr>
          <w:p w14:paraId="247C5535"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w:t>
            </w:r>
          </w:p>
        </w:tc>
        <w:tc>
          <w:tcPr>
            <w:tcW w:w="2238" w:type="dxa"/>
          </w:tcPr>
          <w:p w14:paraId="50DD8761"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0.316</w:t>
            </w:r>
          </w:p>
        </w:tc>
      </w:tr>
      <w:tr w:rsidR="00506CB5" w:rsidRPr="00BC5952" w14:paraId="200C8AE8" w14:textId="77777777" w:rsidTr="00F42524">
        <w:tc>
          <w:tcPr>
            <w:tcW w:w="2362" w:type="dxa"/>
          </w:tcPr>
          <w:p w14:paraId="470FB54B"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ACE inhibitors, n</w:t>
            </w:r>
          </w:p>
        </w:tc>
        <w:tc>
          <w:tcPr>
            <w:tcW w:w="2139" w:type="dxa"/>
          </w:tcPr>
          <w:p w14:paraId="40AAD4B7"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9</w:t>
            </w:r>
          </w:p>
        </w:tc>
        <w:tc>
          <w:tcPr>
            <w:tcW w:w="2287" w:type="dxa"/>
          </w:tcPr>
          <w:p w14:paraId="74AF3B7B"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2</w:t>
            </w:r>
          </w:p>
        </w:tc>
        <w:tc>
          <w:tcPr>
            <w:tcW w:w="2238" w:type="dxa"/>
          </w:tcPr>
          <w:p w14:paraId="0189D712" w14:textId="77777777" w:rsidR="00506CB5" w:rsidRPr="00BC5952" w:rsidRDefault="00506CB5" w:rsidP="00F42524">
            <w:pPr>
              <w:widowControl w:val="0"/>
              <w:spacing w:before="60" w:after="60" w:line="240" w:lineRule="auto"/>
              <w:jc w:val="center"/>
              <w:rPr>
                <w:rFonts w:cs="Calibri"/>
                <w:szCs w:val="24"/>
                <w:lang w:val="en-US"/>
              </w:rPr>
            </w:pPr>
            <w:r w:rsidRPr="00BC5952">
              <w:rPr>
                <w:rFonts w:cs="Calibri"/>
                <w:szCs w:val="24"/>
                <w:lang w:val="en-US"/>
              </w:rPr>
              <w:t>0.319</w:t>
            </w:r>
          </w:p>
        </w:tc>
      </w:tr>
      <w:tr w:rsidR="00506CB5" w:rsidRPr="00BC5952" w14:paraId="7B645C7D" w14:textId="77777777" w:rsidTr="00F42524">
        <w:tc>
          <w:tcPr>
            <w:tcW w:w="2362" w:type="dxa"/>
          </w:tcPr>
          <w:p w14:paraId="1C39B70F"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AT1 blockers, n</w:t>
            </w:r>
          </w:p>
        </w:tc>
        <w:tc>
          <w:tcPr>
            <w:tcW w:w="2139" w:type="dxa"/>
          </w:tcPr>
          <w:p w14:paraId="6D307215"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2</w:t>
            </w:r>
          </w:p>
        </w:tc>
        <w:tc>
          <w:tcPr>
            <w:tcW w:w="2287" w:type="dxa"/>
          </w:tcPr>
          <w:p w14:paraId="76957797"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3</w:t>
            </w:r>
          </w:p>
        </w:tc>
        <w:tc>
          <w:tcPr>
            <w:tcW w:w="2238" w:type="dxa"/>
          </w:tcPr>
          <w:p w14:paraId="5F19C9EC"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0.262</w:t>
            </w:r>
          </w:p>
        </w:tc>
      </w:tr>
      <w:tr w:rsidR="00506CB5" w:rsidRPr="00BC5952" w14:paraId="2EB9533D" w14:textId="77777777" w:rsidTr="00F42524">
        <w:tc>
          <w:tcPr>
            <w:tcW w:w="2362" w:type="dxa"/>
          </w:tcPr>
          <w:p w14:paraId="543D2DFB"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ascii="Symbol" w:eastAsia="Symbol" w:hAnsi="Symbol" w:cs="Symbol"/>
                <w:szCs w:val="24"/>
                <w:lang w:val="en-US" w:eastAsia="de-DE"/>
              </w:rPr>
              <w:t></w:t>
            </w:r>
            <w:r w:rsidRPr="00BC5952">
              <w:rPr>
                <w:rFonts w:eastAsia="Times New Roman" w:cs="Calibri"/>
                <w:szCs w:val="24"/>
                <w:lang w:val="en-US" w:eastAsia="de-DE"/>
              </w:rPr>
              <w:t>-Blockers, n</w:t>
            </w:r>
          </w:p>
        </w:tc>
        <w:tc>
          <w:tcPr>
            <w:tcW w:w="2139" w:type="dxa"/>
          </w:tcPr>
          <w:p w14:paraId="4A19D8B7"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9</w:t>
            </w:r>
          </w:p>
        </w:tc>
        <w:tc>
          <w:tcPr>
            <w:tcW w:w="2287" w:type="dxa"/>
          </w:tcPr>
          <w:p w14:paraId="5C9BB8D9"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4</w:t>
            </w:r>
          </w:p>
        </w:tc>
        <w:tc>
          <w:tcPr>
            <w:tcW w:w="2238" w:type="dxa"/>
          </w:tcPr>
          <w:p w14:paraId="5D0F4AE6" w14:textId="77777777" w:rsidR="00506CB5" w:rsidRPr="00BC5952" w:rsidRDefault="00506CB5" w:rsidP="00F42524">
            <w:pPr>
              <w:widowControl w:val="0"/>
              <w:spacing w:before="60" w:after="60" w:line="240" w:lineRule="auto"/>
              <w:jc w:val="center"/>
              <w:rPr>
                <w:rFonts w:cs="Calibri"/>
                <w:szCs w:val="24"/>
                <w:lang w:val="en-US"/>
              </w:rPr>
            </w:pPr>
            <w:r w:rsidRPr="00BC5952">
              <w:rPr>
                <w:rFonts w:cs="Calibri"/>
                <w:szCs w:val="24"/>
                <w:lang w:val="en-US"/>
              </w:rPr>
              <w:t>1.000</w:t>
            </w:r>
          </w:p>
        </w:tc>
      </w:tr>
      <w:tr w:rsidR="00506CB5" w:rsidRPr="00BC5952" w14:paraId="65F9C8BF" w14:textId="77777777" w:rsidTr="00F42524">
        <w:tc>
          <w:tcPr>
            <w:tcW w:w="2362" w:type="dxa"/>
          </w:tcPr>
          <w:p w14:paraId="16BB2467"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Dihydropyridines, n</w:t>
            </w:r>
          </w:p>
        </w:tc>
        <w:tc>
          <w:tcPr>
            <w:tcW w:w="2139" w:type="dxa"/>
          </w:tcPr>
          <w:p w14:paraId="247043B5"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3</w:t>
            </w:r>
          </w:p>
        </w:tc>
        <w:tc>
          <w:tcPr>
            <w:tcW w:w="2287" w:type="dxa"/>
          </w:tcPr>
          <w:p w14:paraId="01E24AC1"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2</w:t>
            </w:r>
          </w:p>
        </w:tc>
        <w:tc>
          <w:tcPr>
            <w:tcW w:w="2238" w:type="dxa"/>
          </w:tcPr>
          <w:p w14:paraId="615A72FA"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1.000</w:t>
            </w:r>
          </w:p>
        </w:tc>
      </w:tr>
      <w:tr w:rsidR="00506CB5" w:rsidRPr="00BC5952" w14:paraId="107B4828" w14:textId="77777777" w:rsidTr="00F42524">
        <w:tc>
          <w:tcPr>
            <w:tcW w:w="2362" w:type="dxa"/>
          </w:tcPr>
          <w:p w14:paraId="3A9735C2"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Diuretics, n</w:t>
            </w:r>
          </w:p>
        </w:tc>
        <w:tc>
          <w:tcPr>
            <w:tcW w:w="2139" w:type="dxa"/>
          </w:tcPr>
          <w:p w14:paraId="55F61C4E"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5</w:t>
            </w:r>
          </w:p>
        </w:tc>
        <w:tc>
          <w:tcPr>
            <w:tcW w:w="2287" w:type="dxa"/>
          </w:tcPr>
          <w:p w14:paraId="5DA8CB74"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4</w:t>
            </w:r>
          </w:p>
        </w:tc>
        <w:tc>
          <w:tcPr>
            <w:tcW w:w="2238" w:type="dxa"/>
          </w:tcPr>
          <w:p w14:paraId="2F92094B"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0.350</w:t>
            </w:r>
          </w:p>
        </w:tc>
      </w:tr>
      <w:tr w:rsidR="00506CB5" w:rsidRPr="00BC5952" w14:paraId="29E2D843" w14:textId="77777777" w:rsidTr="00F42524">
        <w:tc>
          <w:tcPr>
            <w:tcW w:w="2362" w:type="dxa"/>
            <w:tcBorders>
              <w:bottom w:val="none" w:sz="4" w:space="0" w:color="000000"/>
            </w:tcBorders>
          </w:tcPr>
          <w:p w14:paraId="648BEC10"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Nitrates, n</w:t>
            </w:r>
          </w:p>
        </w:tc>
        <w:tc>
          <w:tcPr>
            <w:tcW w:w="2139" w:type="dxa"/>
            <w:tcBorders>
              <w:bottom w:val="none" w:sz="4" w:space="0" w:color="000000"/>
            </w:tcBorders>
          </w:tcPr>
          <w:p w14:paraId="66EC113B"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cs="Calibri"/>
                <w:szCs w:val="24"/>
                <w:lang w:val="en-US"/>
              </w:rPr>
              <w:t>1</w:t>
            </w:r>
          </w:p>
        </w:tc>
        <w:tc>
          <w:tcPr>
            <w:tcW w:w="2287" w:type="dxa"/>
            <w:tcBorders>
              <w:bottom w:val="none" w:sz="4" w:space="0" w:color="000000"/>
            </w:tcBorders>
          </w:tcPr>
          <w:p w14:paraId="095DE219"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0</w:t>
            </w:r>
          </w:p>
        </w:tc>
        <w:tc>
          <w:tcPr>
            <w:tcW w:w="2238" w:type="dxa"/>
            <w:tcBorders>
              <w:bottom w:val="none" w:sz="4" w:space="0" w:color="000000"/>
            </w:tcBorders>
          </w:tcPr>
          <w:p w14:paraId="71B78E81"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1.000</w:t>
            </w:r>
          </w:p>
        </w:tc>
      </w:tr>
      <w:tr w:rsidR="00506CB5" w:rsidRPr="00BC5952" w14:paraId="3FE74A02" w14:textId="77777777" w:rsidTr="00F42524">
        <w:tc>
          <w:tcPr>
            <w:tcW w:w="2362" w:type="dxa"/>
            <w:tcBorders>
              <w:top w:val="none" w:sz="4" w:space="0" w:color="000000"/>
              <w:bottom w:val="single" w:sz="12" w:space="0" w:color="000000"/>
            </w:tcBorders>
          </w:tcPr>
          <w:p w14:paraId="7E8F3D4E" w14:textId="77777777" w:rsidR="00506CB5" w:rsidRPr="00BC5952" w:rsidRDefault="00506CB5" w:rsidP="00F42524">
            <w:pPr>
              <w:widowControl w:val="0"/>
              <w:spacing w:before="60" w:after="60" w:line="240" w:lineRule="auto"/>
              <w:rPr>
                <w:rFonts w:eastAsia="Times New Roman" w:cs="Calibri"/>
                <w:szCs w:val="24"/>
                <w:lang w:val="en-US" w:eastAsia="de-DE"/>
              </w:rPr>
            </w:pPr>
            <w:r w:rsidRPr="00BC5952">
              <w:rPr>
                <w:rFonts w:eastAsia="Times New Roman" w:cs="Calibri"/>
                <w:szCs w:val="24"/>
                <w:lang w:val="en-US" w:eastAsia="de-DE"/>
              </w:rPr>
              <w:t>Lipid-lowering drugs, n</w:t>
            </w:r>
          </w:p>
        </w:tc>
        <w:tc>
          <w:tcPr>
            <w:tcW w:w="2139" w:type="dxa"/>
            <w:tcBorders>
              <w:top w:val="none" w:sz="4" w:space="0" w:color="000000"/>
              <w:bottom w:val="single" w:sz="12" w:space="0" w:color="000000"/>
            </w:tcBorders>
          </w:tcPr>
          <w:p w14:paraId="582FD7AA"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12</w:t>
            </w:r>
          </w:p>
        </w:tc>
        <w:tc>
          <w:tcPr>
            <w:tcW w:w="2287" w:type="dxa"/>
            <w:tcBorders>
              <w:top w:val="none" w:sz="4" w:space="0" w:color="000000"/>
              <w:bottom w:val="single" w:sz="12" w:space="0" w:color="000000"/>
            </w:tcBorders>
          </w:tcPr>
          <w:p w14:paraId="3E717830"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6</w:t>
            </w:r>
          </w:p>
        </w:tc>
        <w:tc>
          <w:tcPr>
            <w:tcW w:w="2238" w:type="dxa"/>
            <w:tcBorders>
              <w:top w:val="none" w:sz="4" w:space="0" w:color="000000"/>
              <w:bottom w:val="single" w:sz="12" w:space="0" w:color="000000"/>
            </w:tcBorders>
          </w:tcPr>
          <w:p w14:paraId="221CA4B4" w14:textId="77777777" w:rsidR="00506CB5" w:rsidRPr="00BC5952" w:rsidRDefault="00506CB5" w:rsidP="00F42524">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1.000</w:t>
            </w:r>
          </w:p>
        </w:tc>
      </w:tr>
    </w:tbl>
    <w:p w14:paraId="72C54C65" w14:textId="13433643" w:rsidR="00594E68" w:rsidRPr="004A4E01" w:rsidRDefault="00506CB5" w:rsidP="004A4E01">
      <w:pPr>
        <w:spacing w:after="0" w:line="240" w:lineRule="auto"/>
        <w:rPr>
          <w:lang w:val="en-US"/>
        </w:rPr>
      </w:pPr>
      <w:r w:rsidRPr="00BC5952">
        <w:rPr>
          <w:lang w:val="en-US"/>
        </w:rPr>
        <w:t xml:space="preserve">ACE, angiotensin-converting enzyme; AT, angiotensin receptor; CAD, coronary artery disease; LVEF, left ventricular ejection fraction; MVD/AVD, mitral/aortic valve disease. Continuous data are expressed as mean </w:t>
      </w:r>
      <w:r w:rsidRPr="00BC5952">
        <w:rPr>
          <w:rFonts w:ascii="Symbol" w:eastAsia="Symbol" w:hAnsi="Symbol" w:cs="Symbol"/>
          <w:lang w:val="en-US"/>
        </w:rPr>
        <w:t></w:t>
      </w:r>
      <w:r w:rsidRPr="00BC5952">
        <w:rPr>
          <w:lang w:val="en-US"/>
        </w:rPr>
        <w:t xml:space="preserve"> SEM. *</w:t>
      </w:r>
      <w:r w:rsidRPr="00BC5952">
        <w:rPr>
          <w:i/>
          <w:lang w:val="en-US"/>
        </w:rPr>
        <w:t>p</w:t>
      </w:r>
      <w:r w:rsidRPr="00BC5952">
        <w:rPr>
          <w:lang w:val="en-US"/>
        </w:rPr>
        <w:t xml:space="preserve"> &lt; 0.05. Comparison was made using Student’s t-test and Fisher’s exact test for continuous and categorical data, respectively.</w:t>
      </w:r>
      <w:r w:rsidR="00594E68">
        <w:rPr>
          <w:b/>
          <w:bCs/>
          <w:color w:val="000000" w:themeColor="text1"/>
          <w:sz w:val="24"/>
          <w:szCs w:val="24"/>
          <w:highlight w:val="yellow"/>
          <w:lang w:val="en-US"/>
        </w:rPr>
        <w:br w:type="page"/>
      </w:r>
    </w:p>
    <w:p w14:paraId="7F8C8F18" w14:textId="23D0888E" w:rsidR="00594E68" w:rsidRPr="00F1540E" w:rsidRDefault="00594E68" w:rsidP="00594E68">
      <w:pPr>
        <w:pageBreakBefore/>
        <w:spacing w:after="0"/>
        <w:rPr>
          <w:b/>
          <w:bCs/>
          <w:color w:val="000000" w:themeColor="text1"/>
          <w:sz w:val="24"/>
          <w:szCs w:val="24"/>
          <w:lang w:val="en-US"/>
        </w:rPr>
      </w:pPr>
      <w:r>
        <w:rPr>
          <w:b/>
          <w:bCs/>
          <w:color w:val="000000" w:themeColor="text1"/>
          <w:sz w:val="24"/>
          <w:szCs w:val="24"/>
          <w:lang w:val="en-US"/>
        </w:rPr>
        <w:lastRenderedPageBreak/>
        <w:t>Table S</w:t>
      </w:r>
      <w:r w:rsidRPr="001127A1">
        <w:rPr>
          <w:b/>
          <w:bCs/>
          <w:color w:val="000000" w:themeColor="text1"/>
          <w:sz w:val="24"/>
          <w:szCs w:val="24"/>
          <w:lang w:val="en-US"/>
        </w:rPr>
        <w:t>6</w:t>
      </w:r>
      <w:r w:rsidRPr="00F1540E">
        <w:rPr>
          <w:b/>
          <w:bCs/>
          <w:color w:val="000000" w:themeColor="text1"/>
          <w:sz w:val="24"/>
          <w:szCs w:val="24"/>
          <w:lang w:val="en-US"/>
        </w:rPr>
        <w:t>. Antibodies used for immunoblot analysis</w:t>
      </w:r>
    </w:p>
    <w:tbl>
      <w:tblPr>
        <w:tblW w:w="8505" w:type="dxa"/>
        <w:tblBorders>
          <w:top w:val="single" w:sz="12" w:space="0" w:color="008000"/>
          <w:bottom w:val="single" w:sz="12" w:space="0" w:color="008000"/>
        </w:tblBorders>
        <w:tblLook w:val="00A0" w:firstRow="1" w:lastRow="0" w:firstColumn="1" w:lastColumn="0" w:noHBand="0" w:noVBand="0"/>
      </w:tblPr>
      <w:tblGrid>
        <w:gridCol w:w="2126"/>
        <w:gridCol w:w="2126"/>
        <w:gridCol w:w="2126"/>
        <w:gridCol w:w="2127"/>
      </w:tblGrid>
      <w:tr w:rsidR="00594E68" w:rsidRPr="009241AE" w14:paraId="312D8127" w14:textId="77777777" w:rsidTr="00BA3BE1">
        <w:tc>
          <w:tcPr>
            <w:tcW w:w="2126" w:type="dxa"/>
            <w:tcBorders>
              <w:top w:val="single" w:sz="12" w:space="0" w:color="000000"/>
              <w:bottom w:val="single" w:sz="6" w:space="0" w:color="000000"/>
            </w:tcBorders>
          </w:tcPr>
          <w:p w14:paraId="4E5A809B" w14:textId="77777777" w:rsidR="00594E68" w:rsidRPr="009241AE" w:rsidRDefault="00594E68" w:rsidP="00BA3BE1">
            <w:pPr>
              <w:widowControl w:val="0"/>
              <w:spacing w:before="60" w:after="60" w:line="240" w:lineRule="auto"/>
              <w:jc w:val="center"/>
              <w:rPr>
                <w:rFonts w:eastAsia="Times New Roman" w:cs="Calibri"/>
                <w:b/>
                <w:szCs w:val="24"/>
                <w:lang w:val="en-US" w:eastAsia="de-DE"/>
              </w:rPr>
            </w:pPr>
            <w:r>
              <w:rPr>
                <w:rFonts w:eastAsia="Times New Roman" w:cs="Calibri"/>
                <w:b/>
                <w:szCs w:val="24"/>
                <w:lang w:val="en-US" w:eastAsia="de-DE"/>
              </w:rPr>
              <w:t>Antibody</w:t>
            </w:r>
          </w:p>
        </w:tc>
        <w:tc>
          <w:tcPr>
            <w:tcW w:w="2126" w:type="dxa"/>
            <w:tcBorders>
              <w:top w:val="single" w:sz="12" w:space="0" w:color="000000"/>
              <w:bottom w:val="single" w:sz="6" w:space="0" w:color="000000"/>
            </w:tcBorders>
          </w:tcPr>
          <w:p w14:paraId="0104A1F0" w14:textId="77777777" w:rsidR="00594E68" w:rsidRPr="009241AE" w:rsidRDefault="00594E68" w:rsidP="00BA3BE1">
            <w:pPr>
              <w:widowControl w:val="0"/>
              <w:spacing w:before="60" w:after="60" w:line="240" w:lineRule="auto"/>
              <w:jc w:val="center"/>
              <w:rPr>
                <w:rFonts w:eastAsia="Times New Roman" w:cs="Calibri"/>
                <w:b/>
                <w:szCs w:val="24"/>
                <w:lang w:val="en-US" w:eastAsia="de-DE"/>
              </w:rPr>
            </w:pPr>
            <w:r>
              <w:rPr>
                <w:rFonts w:eastAsia="Times New Roman" w:cs="Calibri"/>
                <w:b/>
                <w:szCs w:val="24"/>
                <w:lang w:val="en-US" w:eastAsia="de-DE"/>
              </w:rPr>
              <w:t>Concentration</w:t>
            </w:r>
          </w:p>
        </w:tc>
        <w:tc>
          <w:tcPr>
            <w:tcW w:w="2126" w:type="dxa"/>
            <w:tcBorders>
              <w:top w:val="single" w:sz="12" w:space="0" w:color="000000"/>
              <w:bottom w:val="single" w:sz="6" w:space="0" w:color="000000"/>
            </w:tcBorders>
          </w:tcPr>
          <w:p w14:paraId="29C52FAF" w14:textId="77777777" w:rsidR="00594E68" w:rsidRPr="009241AE" w:rsidRDefault="00594E68" w:rsidP="00BA3BE1">
            <w:pPr>
              <w:widowControl w:val="0"/>
              <w:spacing w:before="60" w:after="60" w:line="240" w:lineRule="auto"/>
              <w:jc w:val="center"/>
              <w:rPr>
                <w:rFonts w:eastAsia="Times New Roman" w:cs="Calibri"/>
                <w:b/>
                <w:szCs w:val="24"/>
                <w:lang w:val="en-US" w:eastAsia="de-DE"/>
              </w:rPr>
            </w:pPr>
            <w:r>
              <w:rPr>
                <w:rFonts w:eastAsia="Times New Roman" w:cs="Calibri"/>
                <w:b/>
                <w:szCs w:val="24"/>
                <w:lang w:val="en-US" w:eastAsia="de-DE"/>
              </w:rPr>
              <w:t>Company</w:t>
            </w:r>
          </w:p>
        </w:tc>
        <w:tc>
          <w:tcPr>
            <w:tcW w:w="2127" w:type="dxa"/>
            <w:tcBorders>
              <w:top w:val="single" w:sz="12" w:space="0" w:color="000000"/>
              <w:bottom w:val="single" w:sz="6" w:space="0" w:color="000000"/>
            </w:tcBorders>
          </w:tcPr>
          <w:p w14:paraId="0CC30899" w14:textId="77777777" w:rsidR="00594E68" w:rsidRPr="009241AE" w:rsidRDefault="00594E68" w:rsidP="00BA3BE1">
            <w:pPr>
              <w:widowControl w:val="0"/>
              <w:spacing w:before="60" w:after="60" w:line="240" w:lineRule="auto"/>
              <w:jc w:val="center"/>
              <w:rPr>
                <w:rFonts w:eastAsia="Times New Roman" w:cs="Calibri"/>
                <w:b/>
                <w:szCs w:val="24"/>
                <w:lang w:val="en-US" w:eastAsia="de-DE"/>
              </w:rPr>
            </w:pPr>
            <w:r>
              <w:rPr>
                <w:rFonts w:eastAsia="Times New Roman" w:cs="Calibri"/>
                <w:b/>
                <w:szCs w:val="24"/>
                <w:lang w:val="en-US" w:eastAsia="de-DE"/>
              </w:rPr>
              <w:t>Identifier</w:t>
            </w:r>
          </w:p>
        </w:tc>
      </w:tr>
      <w:tr w:rsidR="00594E68" w:rsidRPr="009241AE" w14:paraId="3F151464" w14:textId="77777777" w:rsidTr="00BA3BE1">
        <w:tc>
          <w:tcPr>
            <w:tcW w:w="2126" w:type="dxa"/>
            <w:tcBorders>
              <w:top w:val="single" w:sz="6" w:space="0" w:color="000000"/>
            </w:tcBorders>
          </w:tcPr>
          <w:p w14:paraId="39C093C4" w14:textId="77777777" w:rsidR="00594E68" w:rsidRPr="009241AE" w:rsidRDefault="00594E68" w:rsidP="00BA3BE1">
            <w:pPr>
              <w:widowControl w:val="0"/>
              <w:spacing w:before="60" w:after="60" w:line="240" w:lineRule="auto"/>
              <w:jc w:val="center"/>
              <w:rPr>
                <w:rFonts w:eastAsia="Times New Roman" w:cs="Calibri"/>
                <w:szCs w:val="24"/>
                <w:lang w:val="en-US" w:eastAsia="de-DE"/>
              </w:rPr>
            </w:pPr>
            <w:r>
              <w:rPr>
                <w:rFonts w:cs="Calibri"/>
                <w:szCs w:val="24"/>
                <w:lang w:val="en-US"/>
              </w:rPr>
              <w:t>CACNA2D2</w:t>
            </w:r>
          </w:p>
        </w:tc>
        <w:tc>
          <w:tcPr>
            <w:tcW w:w="2126" w:type="dxa"/>
            <w:tcBorders>
              <w:top w:val="single" w:sz="6" w:space="0" w:color="000000"/>
            </w:tcBorders>
          </w:tcPr>
          <w:p w14:paraId="2BF19930" w14:textId="77777777" w:rsidR="00594E68" w:rsidRPr="009241AE" w:rsidRDefault="00594E68" w:rsidP="00BA3BE1">
            <w:pPr>
              <w:widowControl w:val="0"/>
              <w:spacing w:before="60" w:after="60" w:line="240" w:lineRule="auto"/>
              <w:jc w:val="center"/>
              <w:rPr>
                <w:rFonts w:cs="Calibri"/>
                <w:szCs w:val="24"/>
                <w:lang w:val="en-US"/>
              </w:rPr>
            </w:pPr>
            <w:r>
              <w:t>1:2000</w:t>
            </w:r>
          </w:p>
        </w:tc>
        <w:tc>
          <w:tcPr>
            <w:tcW w:w="2126" w:type="dxa"/>
            <w:tcBorders>
              <w:top w:val="single" w:sz="6" w:space="0" w:color="000000"/>
            </w:tcBorders>
          </w:tcPr>
          <w:p w14:paraId="6E8E9376" w14:textId="77777777" w:rsidR="00594E68" w:rsidRPr="009241AE" w:rsidRDefault="00594E68" w:rsidP="00BA3BE1">
            <w:pPr>
              <w:widowControl w:val="0"/>
              <w:spacing w:before="60" w:after="60" w:line="240" w:lineRule="auto"/>
              <w:jc w:val="center"/>
              <w:rPr>
                <w:rFonts w:cs="Calibri"/>
                <w:szCs w:val="24"/>
                <w:lang w:val="en-US"/>
              </w:rPr>
            </w:pPr>
            <w:r>
              <w:t>Abclonal</w:t>
            </w:r>
          </w:p>
        </w:tc>
        <w:tc>
          <w:tcPr>
            <w:tcW w:w="2127" w:type="dxa"/>
            <w:tcBorders>
              <w:top w:val="single" w:sz="6" w:space="0" w:color="000000"/>
            </w:tcBorders>
          </w:tcPr>
          <w:p w14:paraId="6EBC0B94" w14:textId="77777777" w:rsidR="00594E68" w:rsidRPr="009241AE" w:rsidRDefault="00594E68" w:rsidP="00BA3BE1">
            <w:pPr>
              <w:widowControl w:val="0"/>
              <w:spacing w:before="60" w:after="60" w:line="240" w:lineRule="auto"/>
              <w:jc w:val="center"/>
              <w:rPr>
                <w:rFonts w:eastAsia="Times New Roman" w:cs="Calibri"/>
                <w:szCs w:val="24"/>
                <w:lang w:val="en-US" w:eastAsia="de-DE"/>
              </w:rPr>
            </w:pPr>
            <w:r>
              <w:t>A10267</w:t>
            </w:r>
          </w:p>
        </w:tc>
      </w:tr>
      <w:tr w:rsidR="00594E68" w:rsidRPr="009241AE" w14:paraId="1D27D4A9" w14:textId="77777777" w:rsidTr="00BA3BE1">
        <w:tc>
          <w:tcPr>
            <w:tcW w:w="2126" w:type="dxa"/>
          </w:tcPr>
          <w:p w14:paraId="26BC2243" w14:textId="77777777" w:rsidR="00594E68" w:rsidRPr="009241AE" w:rsidRDefault="00594E68" w:rsidP="00BA3BE1">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RGS6</w:t>
            </w:r>
          </w:p>
        </w:tc>
        <w:tc>
          <w:tcPr>
            <w:tcW w:w="2126" w:type="dxa"/>
          </w:tcPr>
          <w:p w14:paraId="1A7B2754" w14:textId="77777777" w:rsidR="00594E68" w:rsidRDefault="00594E68" w:rsidP="00BA3BE1">
            <w:pPr>
              <w:widowControl w:val="0"/>
              <w:spacing w:before="60" w:after="60" w:line="240" w:lineRule="auto"/>
              <w:jc w:val="center"/>
              <w:rPr>
                <w:rFonts w:cs="Calibri"/>
                <w:szCs w:val="24"/>
                <w:lang w:val="en-US"/>
              </w:rPr>
            </w:pPr>
            <w:r>
              <w:t>1:300</w:t>
            </w:r>
          </w:p>
        </w:tc>
        <w:tc>
          <w:tcPr>
            <w:tcW w:w="2126" w:type="dxa"/>
          </w:tcPr>
          <w:p w14:paraId="01A083D5" w14:textId="77777777" w:rsidR="00594E68" w:rsidRDefault="00594E68" w:rsidP="00BA3BE1">
            <w:pPr>
              <w:widowControl w:val="0"/>
              <w:spacing w:before="60" w:after="60" w:line="240" w:lineRule="auto"/>
              <w:jc w:val="center"/>
              <w:rPr>
                <w:rFonts w:cs="Calibri"/>
                <w:szCs w:val="24"/>
                <w:lang w:val="en-US"/>
              </w:rPr>
            </w:pPr>
            <w:r>
              <w:rPr>
                <w:rFonts w:cs="Calibri"/>
                <w:szCs w:val="24"/>
                <w:lang w:val="en-US"/>
              </w:rPr>
              <w:t>Thermo Fisher</w:t>
            </w:r>
          </w:p>
        </w:tc>
        <w:tc>
          <w:tcPr>
            <w:tcW w:w="2127" w:type="dxa"/>
          </w:tcPr>
          <w:p w14:paraId="05EE2C58" w14:textId="77777777" w:rsidR="00594E68" w:rsidRPr="009241AE" w:rsidRDefault="00594E68" w:rsidP="00BA3BE1">
            <w:pPr>
              <w:widowControl w:val="0"/>
              <w:spacing w:before="60" w:after="60" w:line="240" w:lineRule="auto"/>
              <w:jc w:val="center"/>
              <w:rPr>
                <w:rFonts w:eastAsia="Times New Roman" w:cs="Calibri"/>
                <w:szCs w:val="24"/>
                <w:lang w:val="en-US" w:eastAsia="de-DE"/>
              </w:rPr>
            </w:pPr>
            <w:r>
              <w:t>H00009628-B01P</w:t>
            </w:r>
          </w:p>
        </w:tc>
      </w:tr>
      <w:tr w:rsidR="00594E68" w:rsidRPr="009241AE" w14:paraId="4BBCADB2" w14:textId="77777777" w:rsidTr="00BA3BE1">
        <w:tc>
          <w:tcPr>
            <w:tcW w:w="2126" w:type="dxa"/>
          </w:tcPr>
          <w:p w14:paraId="1C160835" w14:textId="77777777" w:rsidR="00594E68" w:rsidRPr="009241AE" w:rsidRDefault="00594E68" w:rsidP="00BA3BE1">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MYOT</w:t>
            </w:r>
          </w:p>
        </w:tc>
        <w:tc>
          <w:tcPr>
            <w:tcW w:w="2126" w:type="dxa"/>
          </w:tcPr>
          <w:p w14:paraId="1445A546" w14:textId="77777777" w:rsidR="00594E68" w:rsidRPr="009241AE" w:rsidRDefault="00594E68" w:rsidP="00BA3BE1">
            <w:pPr>
              <w:widowControl w:val="0"/>
              <w:spacing w:before="60" w:after="60" w:line="240" w:lineRule="auto"/>
              <w:jc w:val="center"/>
              <w:rPr>
                <w:rFonts w:cs="Calibri"/>
                <w:szCs w:val="24"/>
                <w:lang w:val="en-US"/>
              </w:rPr>
            </w:pPr>
            <w:r>
              <w:t>1:100</w:t>
            </w:r>
          </w:p>
        </w:tc>
        <w:tc>
          <w:tcPr>
            <w:tcW w:w="2126" w:type="dxa"/>
          </w:tcPr>
          <w:p w14:paraId="4EE21940" w14:textId="77777777" w:rsidR="00594E68" w:rsidRPr="009241AE" w:rsidRDefault="00594E68" w:rsidP="00BA3BE1">
            <w:pPr>
              <w:widowControl w:val="0"/>
              <w:spacing w:before="60" w:after="60" w:line="240" w:lineRule="auto"/>
              <w:jc w:val="center"/>
              <w:rPr>
                <w:rFonts w:cs="Calibri"/>
                <w:szCs w:val="24"/>
                <w:lang w:val="en-US"/>
              </w:rPr>
            </w:pPr>
            <w:r>
              <w:t>Santa Cruz</w:t>
            </w:r>
          </w:p>
        </w:tc>
        <w:tc>
          <w:tcPr>
            <w:tcW w:w="2127" w:type="dxa"/>
          </w:tcPr>
          <w:p w14:paraId="52EF91E4" w14:textId="77777777" w:rsidR="00594E68" w:rsidRPr="009241AE" w:rsidRDefault="00594E68" w:rsidP="00BA3BE1">
            <w:pPr>
              <w:widowControl w:val="0"/>
              <w:spacing w:before="60" w:after="60" w:line="240" w:lineRule="auto"/>
              <w:jc w:val="center"/>
              <w:rPr>
                <w:rFonts w:eastAsia="Times New Roman" w:cs="Calibri"/>
                <w:szCs w:val="24"/>
                <w:lang w:val="en-US" w:eastAsia="de-DE"/>
              </w:rPr>
            </w:pPr>
            <w:r>
              <w:t>sc-393957</w:t>
            </w:r>
          </w:p>
        </w:tc>
      </w:tr>
      <w:tr w:rsidR="00594E68" w:rsidRPr="009241AE" w14:paraId="3D942A46" w14:textId="77777777" w:rsidTr="00BA3BE1">
        <w:tc>
          <w:tcPr>
            <w:tcW w:w="2126" w:type="dxa"/>
          </w:tcPr>
          <w:p w14:paraId="206065A6" w14:textId="77777777" w:rsidR="00594E68" w:rsidRPr="009241AE" w:rsidRDefault="00594E68" w:rsidP="00BA3BE1">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ACSS1</w:t>
            </w:r>
          </w:p>
        </w:tc>
        <w:tc>
          <w:tcPr>
            <w:tcW w:w="2126" w:type="dxa"/>
          </w:tcPr>
          <w:p w14:paraId="2D285EEF" w14:textId="77777777" w:rsidR="00594E68" w:rsidRPr="009241AE" w:rsidRDefault="00594E68" w:rsidP="00BA3BE1">
            <w:pPr>
              <w:widowControl w:val="0"/>
              <w:spacing w:before="60" w:after="60" w:line="240" w:lineRule="auto"/>
              <w:jc w:val="center"/>
              <w:rPr>
                <w:rFonts w:cs="Calibri"/>
                <w:szCs w:val="24"/>
                <w:lang w:val="en-US"/>
              </w:rPr>
            </w:pPr>
            <w:r>
              <w:t>1:2000</w:t>
            </w:r>
          </w:p>
        </w:tc>
        <w:tc>
          <w:tcPr>
            <w:tcW w:w="2126" w:type="dxa"/>
          </w:tcPr>
          <w:p w14:paraId="00CEB133" w14:textId="77777777" w:rsidR="00594E68" w:rsidRPr="009241AE" w:rsidRDefault="00594E68" w:rsidP="00BA3BE1">
            <w:pPr>
              <w:widowControl w:val="0"/>
              <w:spacing w:before="60" w:after="60" w:line="240" w:lineRule="auto"/>
              <w:jc w:val="center"/>
              <w:rPr>
                <w:rFonts w:cs="Calibri"/>
                <w:szCs w:val="24"/>
                <w:lang w:val="en-US"/>
              </w:rPr>
            </w:pPr>
            <w:r>
              <w:t xml:space="preserve">Cell </w:t>
            </w:r>
            <w:proofErr w:type="spellStart"/>
            <w:r>
              <w:t>signaling</w:t>
            </w:r>
            <w:proofErr w:type="spellEnd"/>
            <w:r>
              <w:t xml:space="preserve"> </w:t>
            </w:r>
          </w:p>
        </w:tc>
        <w:tc>
          <w:tcPr>
            <w:tcW w:w="2127" w:type="dxa"/>
          </w:tcPr>
          <w:p w14:paraId="147091C0" w14:textId="77777777" w:rsidR="00594E68" w:rsidRPr="009241AE" w:rsidRDefault="00594E68" w:rsidP="00BA3BE1">
            <w:pPr>
              <w:widowControl w:val="0"/>
              <w:spacing w:before="60" w:after="60" w:line="240" w:lineRule="auto"/>
              <w:jc w:val="center"/>
              <w:rPr>
                <w:rFonts w:eastAsia="Times New Roman" w:cs="Calibri"/>
                <w:szCs w:val="24"/>
                <w:lang w:val="en-US" w:eastAsia="de-DE"/>
              </w:rPr>
            </w:pPr>
            <w:r>
              <w:t>37041</w:t>
            </w:r>
          </w:p>
        </w:tc>
      </w:tr>
      <w:tr w:rsidR="00594E68" w:rsidRPr="009241AE" w14:paraId="3AEEBC57" w14:textId="77777777" w:rsidTr="00BA3BE1">
        <w:tc>
          <w:tcPr>
            <w:tcW w:w="2126" w:type="dxa"/>
          </w:tcPr>
          <w:p w14:paraId="78269542" w14:textId="77777777" w:rsidR="00594E68" w:rsidRPr="009241AE" w:rsidRDefault="00594E68" w:rsidP="00BA3BE1">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NPPA</w:t>
            </w:r>
          </w:p>
        </w:tc>
        <w:tc>
          <w:tcPr>
            <w:tcW w:w="2126" w:type="dxa"/>
          </w:tcPr>
          <w:p w14:paraId="7B38F49E" w14:textId="77777777" w:rsidR="00594E68" w:rsidRPr="009241AE" w:rsidRDefault="00594E68" w:rsidP="00BA3BE1">
            <w:pPr>
              <w:widowControl w:val="0"/>
              <w:spacing w:before="60" w:after="60" w:line="240" w:lineRule="auto"/>
              <w:jc w:val="center"/>
              <w:rPr>
                <w:rFonts w:eastAsia="Times New Roman" w:cs="Calibri"/>
                <w:szCs w:val="24"/>
                <w:lang w:val="en-US" w:eastAsia="de-DE"/>
              </w:rPr>
            </w:pPr>
            <w:r>
              <w:t>1:3000</w:t>
            </w:r>
          </w:p>
        </w:tc>
        <w:tc>
          <w:tcPr>
            <w:tcW w:w="2126" w:type="dxa"/>
          </w:tcPr>
          <w:p w14:paraId="530D441D" w14:textId="77777777" w:rsidR="00594E68" w:rsidRPr="009241AE" w:rsidRDefault="00594E68" w:rsidP="00BA3BE1">
            <w:pPr>
              <w:widowControl w:val="0"/>
              <w:spacing w:before="60" w:after="60" w:line="240" w:lineRule="auto"/>
              <w:jc w:val="center"/>
              <w:rPr>
                <w:rFonts w:eastAsia="Times New Roman" w:cs="Calibri"/>
                <w:szCs w:val="24"/>
                <w:lang w:val="en-US" w:eastAsia="de-DE"/>
              </w:rPr>
            </w:pPr>
            <w:proofErr w:type="spellStart"/>
            <w:r>
              <w:t>Thermo</w:t>
            </w:r>
            <w:proofErr w:type="spellEnd"/>
            <w:r>
              <w:t xml:space="preserve"> Fisher</w:t>
            </w:r>
          </w:p>
        </w:tc>
        <w:tc>
          <w:tcPr>
            <w:tcW w:w="2127" w:type="dxa"/>
          </w:tcPr>
          <w:p w14:paraId="3EFAE9F9" w14:textId="77777777" w:rsidR="00594E68" w:rsidRPr="009241AE" w:rsidRDefault="00594E68" w:rsidP="00BA3BE1">
            <w:pPr>
              <w:widowControl w:val="0"/>
              <w:spacing w:before="60" w:after="60" w:line="240" w:lineRule="auto"/>
              <w:jc w:val="center"/>
              <w:rPr>
                <w:rFonts w:eastAsia="Times New Roman" w:cs="Calibri"/>
                <w:szCs w:val="24"/>
                <w:lang w:val="en-US" w:eastAsia="de-DE"/>
              </w:rPr>
            </w:pPr>
            <w:r>
              <w:t>MA5-31578</w:t>
            </w:r>
          </w:p>
        </w:tc>
      </w:tr>
      <w:tr w:rsidR="00594E68" w:rsidRPr="009241AE" w14:paraId="71458F08" w14:textId="77777777" w:rsidTr="00BA3BE1">
        <w:tc>
          <w:tcPr>
            <w:tcW w:w="2126" w:type="dxa"/>
          </w:tcPr>
          <w:p w14:paraId="73BC28FF" w14:textId="77777777" w:rsidR="00594E68" w:rsidRDefault="00594E68" w:rsidP="00BA3BE1">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NPPB</w:t>
            </w:r>
          </w:p>
        </w:tc>
        <w:tc>
          <w:tcPr>
            <w:tcW w:w="2126" w:type="dxa"/>
          </w:tcPr>
          <w:p w14:paraId="147DC536" w14:textId="77777777" w:rsidR="00594E68" w:rsidRDefault="00594E68" w:rsidP="00BA3BE1">
            <w:pPr>
              <w:widowControl w:val="0"/>
              <w:spacing w:before="60" w:after="60" w:line="240" w:lineRule="auto"/>
              <w:jc w:val="center"/>
            </w:pPr>
            <w:r>
              <w:t>1:2000</w:t>
            </w:r>
          </w:p>
        </w:tc>
        <w:tc>
          <w:tcPr>
            <w:tcW w:w="2126" w:type="dxa"/>
          </w:tcPr>
          <w:p w14:paraId="380364C9" w14:textId="77777777" w:rsidR="00594E68" w:rsidRDefault="00594E68" w:rsidP="00BA3BE1">
            <w:pPr>
              <w:widowControl w:val="0"/>
              <w:spacing w:before="60" w:after="60" w:line="240" w:lineRule="auto"/>
              <w:jc w:val="center"/>
            </w:pPr>
            <w:r>
              <w:t>antibodies-online</w:t>
            </w:r>
          </w:p>
        </w:tc>
        <w:tc>
          <w:tcPr>
            <w:tcW w:w="2127" w:type="dxa"/>
          </w:tcPr>
          <w:p w14:paraId="753E4763" w14:textId="77777777" w:rsidR="00594E68" w:rsidRDefault="00594E68" w:rsidP="00BA3BE1">
            <w:pPr>
              <w:widowControl w:val="0"/>
              <w:spacing w:before="60" w:after="60" w:line="240" w:lineRule="auto"/>
              <w:jc w:val="center"/>
            </w:pPr>
            <w:r>
              <w:t>ABIN7010021</w:t>
            </w:r>
          </w:p>
        </w:tc>
      </w:tr>
      <w:tr w:rsidR="00594E68" w:rsidRPr="0018035B" w14:paraId="6CA9A606" w14:textId="77777777" w:rsidTr="00BA3BE1">
        <w:tc>
          <w:tcPr>
            <w:tcW w:w="2126" w:type="dxa"/>
          </w:tcPr>
          <w:p w14:paraId="148D1FAB" w14:textId="77777777" w:rsidR="00594E68" w:rsidRPr="00BC5952" w:rsidRDefault="00594E68" w:rsidP="00BA3BE1">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CES2</w:t>
            </w:r>
          </w:p>
        </w:tc>
        <w:tc>
          <w:tcPr>
            <w:tcW w:w="2126" w:type="dxa"/>
          </w:tcPr>
          <w:p w14:paraId="05049D0B" w14:textId="77777777" w:rsidR="00594E68" w:rsidRPr="00BC5952" w:rsidRDefault="00594E68" w:rsidP="00BA3BE1">
            <w:pPr>
              <w:widowControl w:val="0"/>
              <w:spacing w:before="60" w:after="60" w:line="240" w:lineRule="auto"/>
              <w:jc w:val="center"/>
            </w:pPr>
            <w:r w:rsidRPr="00BC5952">
              <w:t>1:1000</w:t>
            </w:r>
          </w:p>
        </w:tc>
        <w:tc>
          <w:tcPr>
            <w:tcW w:w="2126" w:type="dxa"/>
          </w:tcPr>
          <w:p w14:paraId="1D097222" w14:textId="77777777" w:rsidR="00594E68" w:rsidRPr="00BC5952" w:rsidRDefault="00594E68" w:rsidP="00BA3BE1">
            <w:pPr>
              <w:widowControl w:val="0"/>
              <w:spacing w:before="60" w:after="60" w:line="240" w:lineRule="auto"/>
              <w:jc w:val="center"/>
            </w:pPr>
            <w:r w:rsidRPr="00BC5952">
              <w:t>Santa Cruz</w:t>
            </w:r>
          </w:p>
        </w:tc>
        <w:tc>
          <w:tcPr>
            <w:tcW w:w="2127" w:type="dxa"/>
          </w:tcPr>
          <w:p w14:paraId="0E6C529A" w14:textId="77777777" w:rsidR="00594E68" w:rsidRPr="00BC5952" w:rsidRDefault="00594E68" w:rsidP="00BA3BE1">
            <w:pPr>
              <w:widowControl w:val="0"/>
              <w:spacing w:before="60" w:after="60" w:line="240" w:lineRule="auto"/>
              <w:jc w:val="center"/>
            </w:pPr>
            <w:r w:rsidRPr="00BC5952">
              <w:t>sc-100685</w:t>
            </w:r>
          </w:p>
        </w:tc>
      </w:tr>
      <w:tr w:rsidR="00594E68" w:rsidRPr="0018035B" w14:paraId="09B11577" w14:textId="77777777" w:rsidTr="00BA3BE1">
        <w:tc>
          <w:tcPr>
            <w:tcW w:w="2126" w:type="dxa"/>
          </w:tcPr>
          <w:p w14:paraId="43532A57" w14:textId="77777777" w:rsidR="00594E68" w:rsidRPr="00BC5952" w:rsidRDefault="00594E68" w:rsidP="00BA3BE1">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MFG-E8</w:t>
            </w:r>
          </w:p>
        </w:tc>
        <w:tc>
          <w:tcPr>
            <w:tcW w:w="2126" w:type="dxa"/>
          </w:tcPr>
          <w:p w14:paraId="688C36AD" w14:textId="77777777" w:rsidR="00594E68" w:rsidRPr="00BC5952" w:rsidRDefault="00594E68" w:rsidP="00BA3BE1">
            <w:pPr>
              <w:widowControl w:val="0"/>
              <w:spacing w:before="60" w:after="60" w:line="240" w:lineRule="auto"/>
              <w:jc w:val="center"/>
            </w:pPr>
            <w:r w:rsidRPr="00BC5952">
              <w:t>1:1000</w:t>
            </w:r>
          </w:p>
        </w:tc>
        <w:tc>
          <w:tcPr>
            <w:tcW w:w="2126" w:type="dxa"/>
          </w:tcPr>
          <w:p w14:paraId="661A7A57" w14:textId="77777777" w:rsidR="00594E68" w:rsidRPr="00BC5952" w:rsidRDefault="00594E68" w:rsidP="00BA3BE1">
            <w:pPr>
              <w:widowControl w:val="0"/>
              <w:spacing w:before="60" w:after="60" w:line="240" w:lineRule="auto"/>
              <w:jc w:val="center"/>
            </w:pPr>
            <w:r w:rsidRPr="00BC5952">
              <w:t>Santa Cruz</w:t>
            </w:r>
          </w:p>
        </w:tc>
        <w:tc>
          <w:tcPr>
            <w:tcW w:w="2127" w:type="dxa"/>
          </w:tcPr>
          <w:p w14:paraId="20D4403D" w14:textId="77777777" w:rsidR="00594E68" w:rsidRPr="00BC5952" w:rsidRDefault="00594E68" w:rsidP="00BA3BE1">
            <w:pPr>
              <w:widowControl w:val="0"/>
              <w:spacing w:before="60" w:after="60" w:line="240" w:lineRule="auto"/>
              <w:jc w:val="center"/>
            </w:pPr>
            <w:r w:rsidRPr="00BC5952">
              <w:t>sc-271574</w:t>
            </w:r>
          </w:p>
        </w:tc>
      </w:tr>
      <w:tr w:rsidR="00594E68" w:rsidRPr="0018035B" w14:paraId="23DEF69F" w14:textId="77777777" w:rsidTr="00BA3BE1">
        <w:tc>
          <w:tcPr>
            <w:tcW w:w="2126" w:type="dxa"/>
          </w:tcPr>
          <w:p w14:paraId="69913DA3" w14:textId="77777777" w:rsidR="00594E68" w:rsidRPr="00BC5952" w:rsidRDefault="00594E68" w:rsidP="00BA3BE1">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GSTZ1</w:t>
            </w:r>
          </w:p>
        </w:tc>
        <w:tc>
          <w:tcPr>
            <w:tcW w:w="2126" w:type="dxa"/>
          </w:tcPr>
          <w:p w14:paraId="03F67407" w14:textId="77777777" w:rsidR="00594E68" w:rsidRPr="00BC5952" w:rsidRDefault="00594E68" w:rsidP="00BA3BE1">
            <w:pPr>
              <w:widowControl w:val="0"/>
              <w:spacing w:before="60" w:after="60" w:line="240" w:lineRule="auto"/>
              <w:jc w:val="center"/>
            </w:pPr>
            <w:r w:rsidRPr="00BC5952">
              <w:t>1:2000</w:t>
            </w:r>
          </w:p>
        </w:tc>
        <w:tc>
          <w:tcPr>
            <w:tcW w:w="2126" w:type="dxa"/>
          </w:tcPr>
          <w:p w14:paraId="20CDF3E8" w14:textId="77777777" w:rsidR="00594E68" w:rsidRPr="00BC5952" w:rsidRDefault="00594E68" w:rsidP="00BA3BE1">
            <w:pPr>
              <w:widowControl w:val="0"/>
              <w:spacing w:before="60" w:after="60" w:line="240" w:lineRule="auto"/>
              <w:jc w:val="center"/>
            </w:pPr>
            <w:proofErr w:type="spellStart"/>
            <w:r w:rsidRPr="00BC5952">
              <w:t>Proteintech</w:t>
            </w:r>
            <w:proofErr w:type="spellEnd"/>
          </w:p>
        </w:tc>
        <w:tc>
          <w:tcPr>
            <w:tcW w:w="2127" w:type="dxa"/>
          </w:tcPr>
          <w:p w14:paraId="1812CA13" w14:textId="77777777" w:rsidR="00594E68" w:rsidRPr="00BC5952" w:rsidRDefault="00594E68" w:rsidP="00BA3BE1">
            <w:pPr>
              <w:widowControl w:val="0"/>
              <w:spacing w:before="60" w:after="60" w:line="240" w:lineRule="auto"/>
              <w:jc w:val="center"/>
            </w:pPr>
            <w:r w:rsidRPr="00BC5952">
              <w:t>14889-1-AP</w:t>
            </w:r>
          </w:p>
        </w:tc>
      </w:tr>
      <w:tr w:rsidR="00594E68" w:rsidRPr="0018035B" w14:paraId="0CACA084" w14:textId="77777777" w:rsidTr="00BA3BE1">
        <w:tc>
          <w:tcPr>
            <w:tcW w:w="2126" w:type="dxa"/>
          </w:tcPr>
          <w:p w14:paraId="3BA802AF" w14:textId="77777777" w:rsidR="00594E68" w:rsidRPr="00BC5952" w:rsidRDefault="00594E68" w:rsidP="00BA3BE1">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SLC25A36</w:t>
            </w:r>
          </w:p>
        </w:tc>
        <w:tc>
          <w:tcPr>
            <w:tcW w:w="2126" w:type="dxa"/>
          </w:tcPr>
          <w:p w14:paraId="377BD402" w14:textId="77777777" w:rsidR="00594E68" w:rsidRPr="00BC5952" w:rsidRDefault="00594E68" w:rsidP="00BA3BE1">
            <w:pPr>
              <w:widowControl w:val="0"/>
              <w:spacing w:before="60" w:after="60" w:line="240" w:lineRule="auto"/>
              <w:jc w:val="center"/>
            </w:pPr>
            <w:r w:rsidRPr="00BC5952">
              <w:t>1:5000</w:t>
            </w:r>
          </w:p>
        </w:tc>
        <w:tc>
          <w:tcPr>
            <w:tcW w:w="2126" w:type="dxa"/>
          </w:tcPr>
          <w:p w14:paraId="248121CD" w14:textId="77777777" w:rsidR="00594E68" w:rsidRPr="00BC5952" w:rsidRDefault="00594E68" w:rsidP="00BA3BE1">
            <w:pPr>
              <w:widowControl w:val="0"/>
              <w:spacing w:before="60" w:after="60" w:line="240" w:lineRule="auto"/>
              <w:jc w:val="center"/>
            </w:pPr>
            <w:proofErr w:type="spellStart"/>
            <w:r w:rsidRPr="00BC5952">
              <w:t>Proteintech</w:t>
            </w:r>
            <w:proofErr w:type="spellEnd"/>
          </w:p>
        </w:tc>
        <w:tc>
          <w:tcPr>
            <w:tcW w:w="2127" w:type="dxa"/>
          </w:tcPr>
          <w:p w14:paraId="08FA7D7C" w14:textId="77777777" w:rsidR="00594E68" w:rsidRPr="00BC5952" w:rsidRDefault="00594E68" w:rsidP="00BA3BE1">
            <w:pPr>
              <w:widowControl w:val="0"/>
              <w:spacing w:before="60" w:after="60" w:line="240" w:lineRule="auto"/>
              <w:jc w:val="center"/>
            </w:pPr>
            <w:r w:rsidRPr="00BC5952">
              <w:t>67896-1-Ig</w:t>
            </w:r>
          </w:p>
        </w:tc>
      </w:tr>
      <w:tr w:rsidR="00594E68" w:rsidRPr="0018035B" w14:paraId="6801624C" w14:textId="77777777" w:rsidTr="00BA3BE1">
        <w:tc>
          <w:tcPr>
            <w:tcW w:w="2126" w:type="dxa"/>
          </w:tcPr>
          <w:p w14:paraId="5596B0B5" w14:textId="77777777" w:rsidR="00594E68" w:rsidRPr="00BC5952" w:rsidRDefault="00594E68" w:rsidP="00BA3BE1">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TSPAN9</w:t>
            </w:r>
          </w:p>
        </w:tc>
        <w:tc>
          <w:tcPr>
            <w:tcW w:w="2126" w:type="dxa"/>
          </w:tcPr>
          <w:p w14:paraId="1105F7E8" w14:textId="77777777" w:rsidR="00594E68" w:rsidRPr="00BC5952" w:rsidRDefault="00594E68" w:rsidP="00BA3BE1">
            <w:pPr>
              <w:widowControl w:val="0"/>
              <w:spacing w:before="60" w:after="60" w:line="240" w:lineRule="auto"/>
              <w:jc w:val="center"/>
            </w:pPr>
            <w:r w:rsidRPr="00BC5952">
              <w:t>1:1000</w:t>
            </w:r>
          </w:p>
        </w:tc>
        <w:tc>
          <w:tcPr>
            <w:tcW w:w="2126" w:type="dxa"/>
          </w:tcPr>
          <w:p w14:paraId="2D044531" w14:textId="77777777" w:rsidR="00594E68" w:rsidRPr="00BC5952" w:rsidRDefault="00594E68" w:rsidP="00BA3BE1">
            <w:pPr>
              <w:widowControl w:val="0"/>
              <w:spacing w:before="60" w:after="60" w:line="240" w:lineRule="auto"/>
              <w:jc w:val="center"/>
            </w:pPr>
            <w:proofErr w:type="spellStart"/>
            <w:r w:rsidRPr="00BC5952">
              <w:t>Proteintech</w:t>
            </w:r>
            <w:proofErr w:type="spellEnd"/>
          </w:p>
        </w:tc>
        <w:tc>
          <w:tcPr>
            <w:tcW w:w="2127" w:type="dxa"/>
          </w:tcPr>
          <w:p w14:paraId="17DF2E56" w14:textId="77777777" w:rsidR="00594E68" w:rsidRPr="00BC5952" w:rsidRDefault="00594E68" w:rsidP="00BA3BE1">
            <w:pPr>
              <w:widowControl w:val="0"/>
              <w:spacing w:before="60" w:after="60" w:line="240" w:lineRule="auto"/>
              <w:jc w:val="center"/>
            </w:pPr>
            <w:r w:rsidRPr="00BC5952">
              <w:t>21983-1-AP</w:t>
            </w:r>
          </w:p>
        </w:tc>
      </w:tr>
      <w:tr w:rsidR="00594E68" w:rsidRPr="0018035B" w14:paraId="6B02607A" w14:textId="77777777" w:rsidTr="00BA3BE1">
        <w:tc>
          <w:tcPr>
            <w:tcW w:w="2126" w:type="dxa"/>
          </w:tcPr>
          <w:p w14:paraId="1824DB46" w14:textId="77777777" w:rsidR="00594E68" w:rsidRPr="00BC5952" w:rsidRDefault="00594E68" w:rsidP="00BA3BE1">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CCDC80</w:t>
            </w:r>
          </w:p>
        </w:tc>
        <w:tc>
          <w:tcPr>
            <w:tcW w:w="2126" w:type="dxa"/>
          </w:tcPr>
          <w:p w14:paraId="58FCC1DA" w14:textId="77777777" w:rsidR="00594E68" w:rsidRPr="00BC5952" w:rsidRDefault="00594E68" w:rsidP="00BA3BE1">
            <w:pPr>
              <w:widowControl w:val="0"/>
              <w:spacing w:before="60" w:after="60" w:line="240" w:lineRule="auto"/>
              <w:jc w:val="center"/>
            </w:pPr>
            <w:r w:rsidRPr="00BC5952">
              <w:t>1:5000</w:t>
            </w:r>
          </w:p>
        </w:tc>
        <w:tc>
          <w:tcPr>
            <w:tcW w:w="2126" w:type="dxa"/>
          </w:tcPr>
          <w:p w14:paraId="73A5B596" w14:textId="77777777" w:rsidR="00594E68" w:rsidRPr="00BC5952" w:rsidRDefault="00594E68" w:rsidP="00BA3BE1">
            <w:pPr>
              <w:widowControl w:val="0"/>
              <w:spacing w:before="60" w:after="60" w:line="240" w:lineRule="auto"/>
              <w:jc w:val="center"/>
            </w:pPr>
            <w:r w:rsidRPr="00BC5952">
              <w:t>antibodies-online</w:t>
            </w:r>
          </w:p>
        </w:tc>
        <w:tc>
          <w:tcPr>
            <w:tcW w:w="2127" w:type="dxa"/>
          </w:tcPr>
          <w:p w14:paraId="37344330" w14:textId="77777777" w:rsidR="00594E68" w:rsidRPr="00BC5952" w:rsidRDefault="00594E68" w:rsidP="00BA3BE1">
            <w:pPr>
              <w:widowControl w:val="0"/>
              <w:spacing w:before="60" w:after="60" w:line="240" w:lineRule="auto"/>
              <w:jc w:val="center"/>
            </w:pPr>
            <w:r w:rsidRPr="00BC5952">
              <w:t>ABIN7439956</w:t>
            </w:r>
          </w:p>
        </w:tc>
      </w:tr>
      <w:tr w:rsidR="00594E68" w:rsidRPr="0018035B" w14:paraId="3F072F21" w14:textId="77777777" w:rsidTr="00BA3BE1">
        <w:tc>
          <w:tcPr>
            <w:tcW w:w="2126" w:type="dxa"/>
          </w:tcPr>
          <w:p w14:paraId="553C1291" w14:textId="77777777" w:rsidR="00594E68" w:rsidRPr="00BC5952" w:rsidRDefault="00594E68" w:rsidP="00BA3BE1">
            <w:pPr>
              <w:widowControl w:val="0"/>
              <w:spacing w:before="60" w:after="60" w:line="240" w:lineRule="auto"/>
              <w:jc w:val="center"/>
              <w:rPr>
                <w:rFonts w:eastAsia="Times New Roman" w:cs="Calibri"/>
                <w:szCs w:val="24"/>
                <w:lang w:val="en-US" w:eastAsia="de-DE"/>
              </w:rPr>
            </w:pPr>
            <w:r w:rsidRPr="00BC5952">
              <w:rPr>
                <w:rFonts w:eastAsia="Times New Roman" w:cs="Calibri"/>
                <w:szCs w:val="24"/>
                <w:lang w:val="en-US" w:eastAsia="de-DE"/>
              </w:rPr>
              <w:t>GABARAPL1</w:t>
            </w:r>
          </w:p>
        </w:tc>
        <w:tc>
          <w:tcPr>
            <w:tcW w:w="2126" w:type="dxa"/>
          </w:tcPr>
          <w:p w14:paraId="7CA13464" w14:textId="77777777" w:rsidR="00594E68" w:rsidRPr="00BC5952" w:rsidRDefault="00594E68" w:rsidP="00BA3BE1">
            <w:pPr>
              <w:widowControl w:val="0"/>
              <w:spacing w:before="60" w:after="60" w:line="240" w:lineRule="auto"/>
              <w:jc w:val="center"/>
            </w:pPr>
            <w:r w:rsidRPr="00BC5952">
              <w:t>1:2000</w:t>
            </w:r>
          </w:p>
        </w:tc>
        <w:tc>
          <w:tcPr>
            <w:tcW w:w="2126" w:type="dxa"/>
          </w:tcPr>
          <w:p w14:paraId="4F63D9DC" w14:textId="77777777" w:rsidR="00594E68" w:rsidRPr="00BC5952" w:rsidRDefault="00594E68" w:rsidP="00BA3BE1">
            <w:pPr>
              <w:widowControl w:val="0"/>
              <w:spacing w:before="60" w:after="60" w:line="240" w:lineRule="auto"/>
              <w:jc w:val="center"/>
            </w:pPr>
            <w:r w:rsidRPr="00BC5952">
              <w:t xml:space="preserve">Cell </w:t>
            </w:r>
            <w:proofErr w:type="spellStart"/>
            <w:r w:rsidRPr="00BC5952">
              <w:t>Signaling</w:t>
            </w:r>
            <w:proofErr w:type="spellEnd"/>
            <w:r w:rsidRPr="00BC5952">
              <w:t xml:space="preserve"> </w:t>
            </w:r>
          </w:p>
        </w:tc>
        <w:tc>
          <w:tcPr>
            <w:tcW w:w="2127" w:type="dxa"/>
          </w:tcPr>
          <w:p w14:paraId="44A9BEBD" w14:textId="77777777" w:rsidR="00594E68" w:rsidRPr="00BC5952" w:rsidRDefault="00594E68" w:rsidP="00BA3BE1">
            <w:pPr>
              <w:widowControl w:val="0"/>
              <w:spacing w:before="60" w:after="60" w:line="240" w:lineRule="auto"/>
              <w:jc w:val="center"/>
            </w:pPr>
            <w:r w:rsidRPr="00BC5952">
              <w:t>26632T</w:t>
            </w:r>
          </w:p>
        </w:tc>
      </w:tr>
      <w:tr w:rsidR="00594E68" w:rsidRPr="009241AE" w14:paraId="1924D297" w14:textId="77777777" w:rsidTr="00BA3BE1">
        <w:tc>
          <w:tcPr>
            <w:tcW w:w="2126" w:type="dxa"/>
          </w:tcPr>
          <w:p w14:paraId="11A7CFFF" w14:textId="77777777" w:rsidR="00594E68" w:rsidRDefault="00594E68" w:rsidP="00BA3BE1">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CSQ</w:t>
            </w:r>
          </w:p>
        </w:tc>
        <w:tc>
          <w:tcPr>
            <w:tcW w:w="2126" w:type="dxa"/>
          </w:tcPr>
          <w:p w14:paraId="6DE3164B" w14:textId="77777777" w:rsidR="00594E68" w:rsidRDefault="00594E68" w:rsidP="00BA3BE1">
            <w:pPr>
              <w:widowControl w:val="0"/>
              <w:spacing w:before="60" w:after="60" w:line="240" w:lineRule="auto"/>
              <w:jc w:val="center"/>
            </w:pPr>
            <w:r>
              <w:t>1:1000</w:t>
            </w:r>
          </w:p>
        </w:tc>
        <w:tc>
          <w:tcPr>
            <w:tcW w:w="2126" w:type="dxa"/>
          </w:tcPr>
          <w:p w14:paraId="3BDB1EFA" w14:textId="77777777" w:rsidR="00594E68" w:rsidRDefault="00594E68" w:rsidP="00BA3BE1">
            <w:pPr>
              <w:widowControl w:val="0"/>
              <w:spacing w:before="60" w:after="60" w:line="240" w:lineRule="auto"/>
              <w:jc w:val="center"/>
            </w:pPr>
            <w:proofErr w:type="spellStart"/>
            <w:r>
              <w:t>Thermo</w:t>
            </w:r>
            <w:proofErr w:type="spellEnd"/>
            <w:r>
              <w:t xml:space="preserve"> Fisher</w:t>
            </w:r>
          </w:p>
        </w:tc>
        <w:tc>
          <w:tcPr>
            <w:tcW w:w="2127" w:type="dxa"/>
          </w:tcPr>
          <w:p w14:paraId="60402DAB" w14:textId="77777777" w:rsidR="00594E68" w:rsidRDefault="00594E68" w:rsidP="00BA3BE1">
            <w:pPr>
              <w:widowControl w:val="0"/>
              <w:spacing w:before="60" w:after="60" w:line="240" w:lineRule="auto"/>
              <w:jc w:val="center"/>
            </w:pPr>
            <w:r>
              <w:t>PA1-913</w:t>
            </w:r>
          </w:p>
        </w:tc>
      </w:tr>
      <w:tr w:rsidR="00594E68" w:rsidRPr="009241AE" w14:paraId="1E949C5E" w14:textId="77777777" w:rsidTr="00BA3BE1">
        <w:tc>
          <w:tcPr>
            <w:tcW w:w="2126" w:type="dxa"/>
          </w:tcPr>
          <w:p w14:paraId="34AF99B0" w14:textId="77777777" w:rsidR="00594E68" w:rsidRDefault="00594E68" w:rsidP="00BA3BE1">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AzureSpectra 550 goat anti-rabbit</w:t>
            </w:r>
          </w:p>
        </w:tc>
        <w:tc>
          <w:tcPr>
            <w:tcW w:w="2126" w:type="dxa"/>
          </w:tcPr>
          <w:p w14:paraId="4FA7BC91" w14:textId="77777777" w:rsidR="00594E68" w:rsidRDefault="00594E68" w:rsidP="00BA3BE1">
            <w:pPr>
              <w:widowControl w:val="0"/>
              <w:spacing w:before="60" w:after="60" w:line="240" w:lineRule="auto"/>
              <w:jc w:val="center"/>
            </w:pPr>
            <w:r>
              <w:t>1:5000</w:t>
            </w:r>
          </w:p>
        </w:tc>
        <w:tc>
          <w:tcPr>
            <w:tcW w:w="2126" w:type="dxa"/>
          </w:tcPr>
          <w:p w14:paraId="70F9F963" w14:textId="77777777" w:rsidR="00594E68" w:rsidRDefault="00594E68" w:rsidP="00BA3BE1">
            <w:pPr>
              <w:widowControl w:val="0"/>
              <w:spacing w:before="60" w:after="60" w:line="240" w:lineRule="auto"/>
              <w:jc w:val="center"/>
            </w:pPr>
            <w:r>
              <w:t>Biozym</w:t>
            </w:r>
          </w:p>
        </w:tc>
        <w:tc>
          <w:tcPr>
            <w:tcW w:w="2127" w:type="dxa"/>
          </w:tcPr>
          <w:p w14:paraId="40E14EB0" w14:textId="77777777" w:rsidR="00594E68" w:rsidRDefault="00594E68" w:rsidP="00BA3BE1">
            <w:pPr>
              <w:widowControl w:val="0"/>
              <w:spacing w:before="60" w:after="60" w:line="240" w:lineRule="auto"/>
              <w:jc w:val="center"/>
            </w:pPr>
            <w:r>
              <w:t>512158</w:t>
            </w:r>
          </w:p>
        </w:tc>
      </w:tr>
      <w:tr w:rsidR="00594E68" w:rsidRPr="009241AE" w14:paraId="09D91C99" w14:textId="77777777" w:rsidTr="00BA3BE1">
        <w:tc>
          <w:tcPr>
            <w:tcW w:w="2126" w:type="dxa"/>
          </w:tcPr>
          <w:p w14:paraId="463F813D" w14:textId="77777777" w:rsidR="00594E68" w:rsidRDefault="00594E68" w:rsidP="00BA3BE1">
            <w:pPr>
              <w:widowControl w:val="0"/>
              <w:spacing w:before="60" w:after="60" w:line="240" w:lineRule="auto"/>
              <w:jc w:val="center"/>
              <w:rPr>
                <w:rFonts w:eastAsia="Times New Roman" w:cs="Calibri"/>
                <w:szCs w:val="24"/>
                <w:lang w:val="en-US" w:eastAsia="de-DE"/>
              </w:rPr>
            </w:pPr>
            <w:r>
              <w:rPr>
                <w:rFonts w:eastAsia="Times New Roman" w:cs="Calibri"/>
                <w:szCs w:val="24"/>
                <w:lang w:val="en-US" w:eastAsia="de-DE"/>
              </w:rPr>
              <w:t>IRDye 680RD donkey anti-mouse</w:t>
            </w:r>
          </w:p>
        </w:tc>
        <w:tc>
          <w:tcPr>
            <w:tcW w:w="2126" w:type="dxa"/>
          </w:tcPr>
          <w:p w14:paraId="0D4DD8C1" w14:textId="77777777" w:rsidR="00594E68" w:rsidRDefault="00594E68" w:rsidP="00BA3BE1">
            <w:pPr>
              <w:widowControl w:val="0"/>
              <w:spacing w:before="60" w:after="60" w:line="240" w:lineRule="auto"/>
              <w:jc w:val="center"/>
            </w:pPr>
            <w:r>
              <w:t>1:10 000</w:t>
            </w:r>
          </w:p>
        </w:tc>
        <w:tc>
          <w:tcPr>
            <w:tcW w:w="2126" w:type="dxa"/>
          </w:tcPr>
          <w:p w14:paraId="7E81248C" w14:textId="77777777" w:rsidR="00594E68" w:rsidRDefault="00594E68" w:rsidP="00BA3BE1">
            <w:pPr>
              <w:widowControl w:val="0"/>
              <w:spacing w:before="60" w:after="60" w:line="240" w:lineRule="auto"/>
              <w:jc w:val="center"/>
            </w:pPr>
            <w:r>
              <w:t>LI-COR</w:t>
            </w:r>
          </w:p>
        </w:tc>
        <w:tc>
          <w:tcPr>
            <w:tcW w:w="2127" w:type="dxa"/>
          </w:tcPr>
          <w:p w14:paraId="3B641728" w14:textId="77777777" w:rsidR="00594E68" w:rsidRDefault="00594E68" w:rsidP="00BA3BE1">
            <w:pPr>
              <w:widowControl w:val="0"/>
              <w:spacing w:before="60" w:after="60" w:line="240" w:lineRule="auto"/>
              <w:jc w:val="center"/>
            </w:pPr>
            <w:r>
              <w:t>926-68072</w:t>
            </w:r>
          </w:p>
        </w:tc>
      </w:tr>
      <w:tr w:rsidR="00594E68" w:rsidRPr="009241AE" w14:paraId="0D4CD466" w14:textId="77777777" w:rsidTr="00BA3BE1">
        <w:tc>
          <w:tcPr>
            <w:tcW w:w="2126" w:type="dxa"/>
            <w:tcBorders>
              <w:bottom w:val="single" w:sz="4" w:space="0" w:color="auto"/>
            </w:tcBorders>
          </w:tcPr>
          <w:p w14:paraId="692ABC7F" w14:textId="77777777" w:rsidR="00594E68" w:rsidRDefault="00594E68" w:rsidP="00BA3BE1">
            <w:pPr>
              <w:widowControl w:val="0"/>
              <w:spacing w:before="60" w:after="60" w:line="240" w:lineRule="auto"/>
              <w:jc w:val="center"/>
              <w:rPr>
                <w:rFonts w:eastAsia="Times New Roman" w:cs="Calibri"/>
                <w:szCs w:val="24"/>
                <w:lang w:val="en-US" w:eastAsia="de-DE"/>
              </w:rPr>
            </w:pPr>
            <w:proofErr w:type="spellStart"/>
            <w:r>
              <w:rPr>
                <w:rFonts w:eastAsia="Times New Roman" w:cs="Calibri"/>
                <w:szCs w:val="24"/>
                <w:lang w:val="en-US" w:eastAsia="de-DE"/>
              </w:rPr>
              <w:t>IRDye</w:t>
            </w:r>
            <w:proofErr w:type="spellEnd"/>
            <w:r>
              <w:rPr>
                <w:rFonts w:eastAsia="Times New Roman" w:cs="Calibri"/>
                <w:szCs w:val="24"/>
                <w:lang w:val="en-US" w:eastAsia="de-DE"/>
              </w:rPr>
              <w:t xml:space="preserve"> 800CW donkey anti-rabbit</w:t>
            </w:r>
          </w:p>
        </w:tc>
        <w:tc>
          <w:tcPr>
            <w:tcW w:w="2126" w:type="dxa"/>
            <w:tcBorders>
              <w:bottom w:val="single" w:sz="4" w:space="0" w:color="auto"/>
            </w:tcBorders>
          </w:tcPr>
          <w:p w14:paraId="278E46B4" w14:textId="77777777" w:rsidR="00594E68" w:rsidRDefault="00594E68" w:rsidP="00BA3BE1">
            <w:pPr>
              <w:widowControl w:val="0"/>
              <w:spacing w:before="60" w:after="60" w:line="240" w:lineRule="auto"/>
              <w:jc w:val="center"/>
            </w:pPr>
            <w:r>
              <w:t>1:10 000</w:t>
            </w:r>
          </w:p>
        </w:tc>
        <w:tc>
          <w:tcPr>
            <w:tcW w:w="2126" w:type="dxa"/>
            <w:tcBorders>
              <w:bottom w:val="single" w:sz="4" w:space="0" w:color="auto"/>
            </w:tcBorders>
          </w:tcPr>
          <w:p w14:paraId="183B36D1" w14:textId="77777777" w:rsidR="00594E68" w:rsidRDefault="00594E68" w:rsidP="00BA3BE1">
            <w:pPr>
              <w:widowControl w:val="0"/>
              <w:spacing w:before="60" w:after="60" w:line="240" w:lineRule="auto"/>
              <w:jc w:val="center"/>
            </w:pPr>
            <w:r>
              <w:t>LI-COR</w:t>
            </w:r>
          </w:p>
        </w:tc>
        <w:tc>
          <w:tcPr>
            <w:tcW w:w="2127" w:type="dxa"/>
            <w:tcBorders>
              <w:bottom w:val="single" w:sz="4" w:space="0" w:color="auto"/>
            </w:tcBorders>
          </w:tcPr>
          <w:p w14:paraId="32B2B815" w14:textId="77777777" w:rsidR="00594E68" w:rsidRDefault="00594E68" w:rsidP="00BA3BE1">
            <w:pPr>
              <w:widowControl w:val="0"/>
              <w:spacing w:before="60" w:after="60" w:line="240" w:lineRule="auto"/>
              <w:jc w:val="center"/>
            </w:pPr>
            <w:r>
              <w:t>926-32213</w:t>
            </w:r>
          </w:p>
        </w:tc>
      </w:tr>
    </w:tbl>
    <w:p w14:paraId="52163E76" w14:textId="53071AC3" w:rsidR="00594E68" w:rsidRPr="00594E68" w:rsidRDefault="00594E68">
      <w:pPr>
        <w:spacing w:line="259" w:lineRule="auto"/>
        <w:rPr>
          <w:rFonts w:cs="Calibri"/>
          <w:sz w:val="24"/>
          <w:lang w:val="en-US"/>
        </w:rPr>
      </w:pPr>
      <w:r>
        <w:rPr>
          <w:b/>
          <w:bCs/>
          <w:color w:val="000000" w:themeColor="text1"/>
          <w:sz w:val="24"/>
          <w:szCs w:val="24"/>
          <w:highlight w:val="yellow"/>
          <w:lang w:val="en-US"/>
        </w:rPr>
        <w:br w:type="page"/>
      </w:r>
    </w:p>
    <w:p w14:paraId="38F78F53" w14:textId="48AA8DFF" w:rsidR="004216FB" w:rsidRPr="00D118FA" w:rsidRDefault="004216FB" w:rsidP="004216FB">
      <w:pPr>
        <w:pageBreakBefore/>
        <w:spacing w:after="0"/>
        <w:rPr>
          <w:b/>
          <w:bCs/>
          <w:color w:val="000000" w:themeColor="text1"/>
          <w:sz w:val="24"/>
          <w:szCs w:val="24"/>
          <w:lang w:val="en-US"/>
        </w:rPr>
      </w:pPr>
      <w:r w:rsidRPr="00D118FA">
        <w:rPr>
          <w:b/>
          <w:bCs/>
          <w:color w:val="000000" w:themeColor="text1"/>
          <w:sz w:val="24"/>
          <w:szCs w:val="24"/>
          <w:lang w:val="en-US"/>
        </w:rPr>
        <w:lastRenderedPageBreak/>
        <w:t>Table S</w:t>
      </w:r>
      <w:r w:rsidR="00506CB5" w:rsidRPr="00D118FA">
        <w:rPr>
          <w:b/>
          <w:bCs/>
          <w:color w:val="000000" w:themeColor="text1"/>
          <w:sz w:val="24"/>
          <w:szCs w:val="24"/>
          <w:lang w:val="en-US"/>
        </w:rPr>
        <w:t>7</w:t>
      </w:r>
      <w:r w:rsidRPr="00D118FA">
        <w:rPr>
          <w:b/>
          <w:bCs/>
          <w:color w:val="000000" w:themeColor="text1"/>
          <w:sz w:val="24"/>
          <w:szCs w:val="24"/>
          <w:lang w:val="en-US"/>
        </w:rPr>
        <w:t>. Characteristics of patients involved in blood plasma analysis</w:t>
      </w:r>
    </w:p>
    <w:tbl>
      <w:tblPr>
        <w:tblW w:w="9026" w:type="dxa"/>
        <w:tblBorders>
          <w:top w:val="single" w:sz="12" w:space="0" w:color="008000"/>
          <w:bottom w:val="single" w:sz="12" w:space="0" w:color="008000"/>
        </w:tblBorders>
        <w:tblLook w:val="00A0" w:firstRow="1" w:lastRow="0" w:firstColumn="1" w:lastColumn="0" w:noHBand="0" w:noVBand="0"/>
      </w:tblPr>
      <w:tblGrid>
        <w:gridCol w:w="2362"/>
        <w:gridCol w:w="2139"/>
        <w:gridCol w:w="2287"/>
        <w:gridCol w:w="2238"/>
      </w:tblGrid>
      <w:tr w:rsidR="004216FB" w:rsidRPr="00D118FA" w14:paraId="073C647F" w14:textId="77777777" w:rsidTr="00B6551F">
        <w:tc>
          <w:tcPr>
            <w:tcW w:w="2362" w:type="dxa"/>
            <w:tcBorders>
              <w:top w:val="single" w:sz="12" w:space="0" w:color="auto"/>
              <w:bottom w:val="nil"/>
            </w:tcBorders>
          </w:tcPr>
          <w:p w14:paraId="0C423DE5" w14:textId="77777777" w:rsidR="004216FB" w:rsidRPr="00D118FA" w:rsidRDefault="004216FB" w:rsidP="00D0477F">
            <w:pPr>
              <w:widowControl w:val="0"/>
              <w:spacing w:before="60" w:after="60" w:line="240" w:lineRule="auto"/>
              <w:rPr>
                <w:rFonts w:eastAsia="Times New Roman" w:cs="Calibri"/>
                <w:szCs w:val="24"/>
                <w:lang w:val="en-US" w:eastAsia="de-DE"/>
              </w:rPr>
            </w:pPr>
          </w:p>
        </w:tc>
        <w:tc>
          <w:tcPr>
            <w:tcW w:w="2139" w:type="dxa"/>
            <w:tcBorders>
              <w:top w:val="single" w:sz="12" w:space="0" w:color="auto"/>
              <w:bottom w:val="nil"/>
            </w:tcBorders>
          </w:tcPr>
          <w:p w14:paraId="644D2C64" w14:textId="77777777" w:rsidR="004216FB" w:rsidRPr="00D118FA" w:rsidRDefault="004216FB" w:rsidP="00D0477F">
            <w:pPr>
              <w:widowControl w:val="0"/>
              <w:spacing w:before="60" w:after="60" w:line="240" w:lineRule="auto"/>
              <w:jc w:val="center"/>
              <w:rPr>
                <w:rFonts w:eastAsia="Times New Roman" w:cs="Calibri"/>
                <w:b/>
                <w:szCs w:val="24"/>
                <w:lang w:val="en-US" w:eastAsia="de-DE"/>
              </w:rPr>
            </w:pPr>
            <w:r w:rsidRPr="00D118FA">
              <w:rPr>
                <w:rFonts w:eastAsia="Times New Roman" w:cs="Calibri"/>
                <w:b/>
                <w:szCs w:val="24"/>
                <w:lang w:val="en-US" w:eastAsia="de-DE"/>
              </w:rPr>
              <w:t>Ctrl</w:t>
            </w:r>
          </w:p>
        </w:tc>
        <w:tc>
          <w:tcPr>
            <w:tcW w:w="2287" w:type="dxa"/>
            <w:tcBorders>
              <w:top w:val="single" w:sz="12" w:space="0" w:color="auto"/>
              <w:bottom w:val="nil"/>
            </w:tcBorders>
          </w:tcPr>
          <w:p w14:paraId="7FACECFD" w14:textId="77777777" w:rsidR="004216FB" w:rsidRPr="00D118FA" w:rsidRDefault="004216FB" w:rsidP="00D0477F">
            <w:pPr>
              <w:widowControl w:val="0"/>
              <w:spacing w:before="60" w:after="60" w:line="240" w:lineRule="auto"/>
              <w:jc w:val="center"/>
              <w:rPr>
                <w:rFonts w:eastAsia="Times New Roman" w:cs="Calibri"/>
                <w:b/>
                <w:szCs w:val="24"/>
                <w:lang w:val="en-US" w:eastAsia="de-DE"/>
              </w:rPr>
            </w:pPr>
            <w:proofErr w:type="spellStart"/>
            <w:r w:rsidRPr="00D118FA">
              <w:rPr>
                <w:rFonts w:eastAsia="Times New Roman" w:cs="Calibri"/>
                <w:b/>
                <w:szCs w:val="24"/>
                <w:lang w:val="en-US" w:eastAsia="de-DE"/>
              </w:rPr>
              <w:t>persAF</w:t>
            </w:r>
            <w:proofErr w:type="spellEnd"/>
          </w:p>
        </w:tc>
        <w:tc>
          <w:tcPr>
            <w:tcW w:w="2238" w:type="dxa"/>
            <w:vMerge w:val="restart"/>
            <w:tcBorders>
              <w:top w:val="single" w:sz="12" w:space="0" w:color="auto"/>
            </w:tcBorders>
            <w:vAlign w:val="center"/>
          </w:tcPr>
          <w:p w14:paraId="280C9EFF" w14:textId="77777777" w:rsidR="004216FB" w:rsidRPr="00D118FA" w:rsidRDefault="004216FB" w:rsidP="00D0477F">
            <w:pPr>
              <w:widowControl w:val="0"/>
              <w:spacing w:before="60" w:after="60" w:line="240" w:lineRule="auto"/>
              <w:jc w:val="center"/>
              <w:rPr>
                <w:rFonts w:eastAsia="Times New Roman" w:cs="Calibri"/>
                <w:b/>
                <w:szCs w:val="24"/>
                <w:lang w:val="en-US" w:eastAsia="de-DE"/>
              </w:rPr>
            </w:pPr>
            <w:r w:rsidRPr="00D118FA">
              <w:rPr>
                <w:rFonts w:eastAsia="Times New Roman" w:cs="Calibri"/>
                <w:b/>
                <w:i/>
                <w:szCs w:val="24"/>
                <w:lang w:val="en-US" w:eastAsia="de-DE"/>
              </w:rPr>
              <w:t>p</w:t>
            </w:r>
            <w:r w:rsidRPr="00D118FA">
              <w:rPr>
                <w:rFonts w:eastAsia="Times New Roman" w:cs="Calibri"/>
                <w:b/>
                <w:szCs w:val="24"/>
                <w:lang w:val="en-US" w:eastAsia="de-DE"/>
              </w:rPr>
              <w:t xml:space="preserve"> value</w:t>
            </w:r>
          </w:p>
        </w:tc>
      </w:tr>
      <w:tr w:rsidR="004216FB" w:rsidRPr="00D118FA" w14:paraId="1864827B" w14:textId="77777777" w:rsidTr="00B6551F">
        <w:tc>
          <w:tcPr>
            <w:tcW w:w="2362" w:type="dxa"/>
            <w:tcBorders>
              <w:top w:val="nil"/>
              <w:bottom w:val="single" w:sz="12" w:space="0" w:color="auto"/>
            </w:tcBorders>
          </w:tcPr>
          <w:p w14:paraId="32E81708" w14:textId="77777777" w:rsidR="004216FB" w:rsidRPr="00D118FA" w:rsidRDefault="004216FB" w:rsidP="00D0477F">
            <w:pPr>
              <w:widowControl w:val="0"/>
              <w:spacing w:before="60" w:after="60" w:line="240" w:lineRule="auto"/>
              <w:rPr>
                <w:rFonts w:eastAsia="Times New Roman" w:cs="Calibri"/>
                <w:szCs w:val="24"/>
                <w:lang w:val="en-US" w:eastAsia="de-DE"/>
              </w:rPr>
            </w:pPr>
          </w:p>
        </w:tc>
        <w:tc>
          <w:tcPr>
            <w:tcW w:w="2139" w:type="dxa"/>
            <w:tcBorders>
              <w:top w:val="nil"/>
              <w:bottom w:val="single" w:sz="12" w:space="0" w:color="auto"/>
            </w:tcBorders>
          </w:tcPr>
          <w:p w14:paraId="0CC85EE8" w14:textId="6BC34A30" w:rsidR="004216FB" w:rsidRPr="00D118FA" w:rsidRDefault="004216FB" w:rsidP="004216FB">
            <w:pPr>
              <w:widowControl w:val="0"/>
              <w:spacing w:before="60" w:after="60" w:line="240" w:lineRule="auto"/>
              <w:jc w:val="center"/>
              <w:rPr>
                <w:rFonts w:eastAsia="Times New Roman" w:cs="Calibri"/>
                <w:b/>
                <w:szCs w:val="24"/>
                <w:lang w:val="en-US" w:eastAsia="de-DE"/>
              </w:rPr>
            </w:pPr>
            <w:r w:rsidRPr="00D118FA">
              <w:rPr>
                <w:rFonts w:eastAsia="Times New Roman" w:cs="Calibri"/>
                <w:b/>
                <w:szCs w:val="24"/>
                <w:lang w:val="en-US" w:eastAsia="de-DE"/>
              </w:rPr>
              <w:t>(n=23)</w:t>
            </w:r>
          </w:p>
        </w:tc>
        <w:tc>
          <w:tcPr>
            <w:tcW w:w="2287" w:type="dxa"/>
            <w:tcBorders>
              <w:top w:val="nil"/>
              <w:bottom w:val="single" w:sz="12" w:space="0" w:color="auto"/>
            </w:tcBorders>
          </w:tcPr>
          <w:p w14:paraId="7DEDAB51" w14:textId="32A22ECA" w:rsidR="004216FB" w:rsidRPr="00D118FA" w:rsidRDefault="004216FB" w:rsidP="004216FB">
            <w:pPr>
              <w:widowControl w:val="0"/>
              <w:spacing w:before="60" w:after="60" w:line="240" w:lineRule="auto"/>
              <w:jc w:val="center"/>
              <w:rPr>
                <w:rFonts w:eastAsia="Times New Roman" w:cs="Calibri"/>
                <w:b/>
                <w:szCs w:val="24"/>
                <w:lang w:val="en-US" w:eastAsia="de-DE"/>
              </w:rPr>
            </w:pPr>
            <w:r w:rsidRPr="00D118FA">
              <w:rPr>
                <w:rFonts w:eastAsia="Times New Roman" w:cs="Calibri"/>
                <w:b/>
                <w:szCs w:val="24"/>
                <w:lang w:val="en-US" w:eastAsia="de-DE"/>
              </w:rPr>
              <w:t>(n=17)</w:t>
            </w:r>
          </w:p>
        </w:tc>
        <w:tc>
          <w:tcPr>
            <w:tcW w:w="2238" w:type="dxa"/>
            <w:vMerge/>
            <w:tcBorders>
              <w:bottom w:val="single" w:sz="12" w:space="0" w:color="auto"/>
            </w:tcBorders>
            <w:shd w:val="clear" w:color="auto" w:fill="FFFF00"/>
            <w:vAlign w:val="center"/>
          </w:tcPr>
          <w:p w14:paraId="21D235BE" w14:textId="77777777" w:rsidR="004216FB" w:rsidRPr="00D118FA" w:rsidRDefault="004216FB" w:rsidP="00D0477F">
            <w:pPr>
              <w:widowControl w:val="0"/>
              <w:spacing w:before="60" w:after="60" w:line="240" w:lineRule="auto"/>
              <w:jc w:val="center"/>
              <w:rPr>
                <w:rFonts w:eastAsia="Times New Roman" w:cs="Calibri"/>
                <w:b/>
                <w:i/>
                <w:szCs w:val="24"/>
                <w:lang w:val="en-US" w:eastAsia="de-DE"/>
              </w:rPr>
            </w:pPr>
          </w:p>
        </w:tc>
      </w:tr>
      <w:tr w:rsidR="004216FB" w:rsidRPr="00D118FA" w14:paraId="4F98824F" w14:textId="77777777" w:rsidTr="00D0477F">
        <w:tc>
          <w:tcPr>
            <w:tcW w:w="2362" w:type="dxa"/>
            <w:tcBorders>
              <w:top w:val="single" w:sz="12" w:space="0" w:color="auto"/>
            </w:tcBorders>
          </w:tcPr>
          <w:p w14:paraId="62EE74F5"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Sex, male/female</w:t>
            </w:r>
          </w:p>
        </w:tc>
        <w:tc>
          <w:tcPr>
            <w:tcW w:w="2139" w:type="dxa"/>
            <w:tcBorders>
              <w:top w:val="single" w:sz="12" w:space="0" w:color="auto"/>
            </w:tcBorders>
          </w:tcPr>
          <w:p w14:paraId="7109D7C2" w14:textId="4B5DAFD6"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cs="Calibri"/>
                <w:szCs w:val="24"/>
                <w:lang w:val="en-US"/>
              </w:rPr>
              <w:t>17/6</w:t>
            </w:r>
          </w:p>
        </w:tc>
        <w:tc>
          <w:tcPr>
            <w:tcW w:w="2287" w:type="dxa"/>
            <w:tcBorders>
              <w:top w:val="single" w:sz="12" w:space="0" w:color="auto"/>
            </w:tcBorders>
          </w:tcPr>
          <w:p w14:paraId="21A717E0" w14:textId="0B408104"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cs="Calibri"/>
                <w:szCs w:val="24"/>
                <w:lang w:val="en-US"/>
              </w:rPr>
              <w:t>14/3</w:t>
            </w:r>
          </w:p>
        </w:tc>
        <w:tc>
          <w:tcPr>
            <w:tcW w:w="2238" w:type="dxa"/>
            <w:tcBorders>
              <w:top w:val="single" w:sz="12" w:space="0" w:color="auto"/>
            </w:tcBorders>
          </w:tcPr>
          <w:p w14:paraId="224BC385" w14:textId="0BAF08D7" w:rsidR="004216FB" w:rsidRPr="00D118FA" w:rsidRDefault="004216FB" w:rsidP="004216FB">
            <w:pPr>
              <w:widowControl w:val="0"/>
              <w:spacing w:before="60" w:after="60" w:line="240" w:lineRule="auto"/>
              <w:jc w:val="center"/>
              <w:rPr>
                <w:rFonts w:cs="Calibri"/>
                <w:szCs w:val="24"/>
                <w:lang w:val="en-US"/>
              </w:rPr>
            </w:pPr>
            <w:r w:rsidRPr="00D118FA">
              <w:rPr>
                <w:rFonts w:cs="Calibri"/>
                <w:szCs w:val="24"/>
                <w:lang w:val="en-US"/>
              </w:rPr>
              <w:t>0.707</w:t>
            </w:r>
          </w:p>
        </w:tc>
      </w:tr>
      <w:tr w:rsidR="004216FB" w:rsidRPr="00D118FA" w14:paraId="15EE0E0F" w14:textId="77777777" w:rsidTr="00D0477F">
        <w:tc>
          <w:tcPr>
            <w:tcW w:w="2362" w:type="dxa"/>
          </w:tcPr>
          <w:p w14:paraId="28CBE4FF"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Age, y</w:t>
            </w:r>
          </w:p>
        </w:tc>
        <w:tc>
          <w:tcPr>
            <w:tcW w:w="2139" w:type="dxa"/>
          </w:tcPr>
          <w:p w14:paraId="311CCB60" w14:textId="44A21ACB"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cs="Calibri"/>
                <w:szCs w:val="24"/>
                <w:lang w:val="en-US"/>
              </w:rPr>
              <w:t xml:space="preserve">65.6 </w:t>
            </w:r>
            <w:r w:rsidRPr="00D118FA">
              <w:rPr>
                <w:rFonts w:ascii="Symbol" w:eastAsia="Symbol" w:hAnsi="Symbol" w:cs="Symbol"/>
                <w:szCs w:val="24"/>
                <w:lang w:val="en-US"/>
              </w:rPr>
              <w:t></w:t>
            </w:r>
            <w:r w:rsidRPr="00D118FA">
              <w:rPr>
                <w:rFonts w:ascii="Symbol" w:eastAsia="Symbol" w:hAnsi="Symbol" w:cs="Symbol"/>
                <w:szCs w:val="24"/>
                <w:lang w:val="en-US"/>
              </w:rPr>
              <w:t></w:t>
            </w:r>
            <w:r w:rsidRPr="00D118FA">
              <w:rPr>
                <w:rFonts w:ascii="Symbol" w:eastAsia="Symbol" w:hAnsi="Symbol" w:cs="Symbol"/>
                <w:szCs w:val="24"/>
                <w:lang w:val="en-US"/>
              </w:rPr>
              <w:t></w:t>
            </w:r>
            <w:r w:rsidRPr="00D118FA">
              <w:rPr>
                <w:rFonts w:cs="Calibri"/>
                <w:szCs w:val="24"/>
                <w:lang w:val="en-US"/>
              </w:rPr>
              <w:t>.5</w:t>
            </w:r>
          </w:p>
        </w:tc>
        <w:tc>
          <w:tcPr>
            <w:tcW w:w="2287" w:type="dxa"/>
          </w:tcPr>
          <w:p w14:paraId="38B2F951" w14:textId="19EABB42"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cs="Calibri"/>
                <w:szCs w:val="24"/>
                <w:lang w:val="en-US"/>
              </w:rPr>
              <w:t xml:space="preserve">68.9 </w:t>
            </w:r>
            <w:r w:rsidRPr="00D118FA">
              <w:rPr>
                <w:rFonts w:ascii="Symbol" w:eastAsia="Symbol" w:hAnsi="Symbol" w:cs="Symbol"/>
                <w:szCs w:val="24"/>
                <w:lang w:val="en-US"/>
              </w:rPr>
              <w:t></w:t>
            </w:r>
            <w:r w:rsidRPr="00D118FA">
              <w:rPr>
                <w:rFonts w:cs="Calibri"/>
                <w:szCs w:val="24"/>
                <w:lang w:val="en-US"/>
              </w:rPr>
              <w:t xml:space="preserve"> 1.7</w:t>
            </w:r>
          </w:p>
        </w:tc>
        <w:tc>
          <w:tcPr>
            <w:tcW w:w="2238" w:type="dxa"/>
          </w:tcPr>
          <w:p w14:paraId="4513714A" w14:textId="1A2EBC0F" w:rsidR="004216FB" w:rsidRPr="00D118FA" w:rsidRDefault="004216FB" w:rsidP="004216FB">
            <w:pPr>
              <w:widowControl w:val="0"/>
              <w:spacing w:before="60" w:after="60" w:line="240" w:lineRule="auto"/>
              <w:jc w:val="center"/>
              <w:rPr>
                <w:rFonts w:cs="Calibri"/>
                <w:szCs w:val="24"/>
                <w:lang w:val="en-US"/>
              </w:rPr>
            </w:pPr>
            <w:r w:rsidRPr="00D118FA">
              <w:rPr>
                <w:rFonts w:cs="Calibri"/>
                <w:szCs w:val="24"/>
                <w:lang w:val="en-US"/>
              </w:rPr>
              <w:t>0.154</w:t>
            </w:r>
          </w:p>
        </w:tc>
      </w:tr>
      <w:tr w:rsidR="004216FB" w:rsidRPr="00D118FA" w14:paraId="04D6AEE2" w14:textId="77777777" w:rsidTr="00D0477F">
        <w:tc>
          <w:tcPr>
            <w:tcW w:w="2362" w:type="dxa"/>
          </w:tcPr>
          <w:p w14:paraId="689E17AF"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Body mass index, kg/m</w:t>
            </w:r>
            <w:r w:rsidRPr="00D118FA">
              <w:rPr>
                <w:rFonts w:eastAsia="Times New Roman" w:cs="Calibri"/>
                <w:szCs w:val="24"/>
                <w:vertAlign w:val="superscript"/>
                <w:lang w:val="en-US" w:eastAsia="de-DE"/>
              </w:rPr>
              <w:t>2</w:t>
            </w:r>
          </w:p>
        </w:tc>
        <w:tc>
          <w:tcPr>
            <w:tcW w:w="2139" w:type="dxa"/>
          </w:tcPr>
          <w:p w14:paraId="13FF844C" w14:textId="5D1EA0D3"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cs="Calibri"/>
                <w:szCs w:val="24"/>
                <w:lang w:val="en-US"/>
              </w:rPr>
              <w:t xml:space="preserve">27.9 </w:t>
            </w:r>
            <w:r w:rsidRPr="00D118FA">
              <w:rPr>
                <w:rFonts w:ascii="Symbol" w:eastAsia="Symbol" w:hAnsi="Symbol" w:cs="Symbol"/>
                <w:szCs w:val="24"/>
                <w:lang w:val="en-US"/>
              </w:rPr>
              <w:t></w:t>
            </w:r>
            <w:r w:rsidRPr="00D118FA">
              <w:rPr>
                <w:rFonts w:cs="Calibri"/>
                <w:szCs w:val="24"/>
                <w:lang w:val="en-US"/>
              </w:rPr>
              <w:t xml:space="preserve"> 1.5</w:t>
            </w:r>
          </w:p>
        </w:tc>
        <w:tc>
          <w:tcPr>
            <w:tcW w:w="2287" w:type="dxa"/>
          </w:tcPr>
          <w:p w14:paraId="4C83046B" w14:textId="7B0CB449"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cs="Calibri"/>
                <w:szCs w:val="24"/>
                <w:lang w:val="en-US"/>
              </w:rPr>
              <w:t xml:space="preserve">29.1 </w:t>
            </w:r>
            <w:r w:rsidRPr="00D118FA">
              <w:rPr>
                <w:rFonts w:ascii="Symbol" w:eastAsia="Symbol" w:hAnsi="Symbol" w:cs="Symbol"/>
                <w:szCs w:val="24"/>
                <w:lang w:val="en-US"/>
              </w:rPr>
              <w:t></w:t>
            </w:r>
            <w:r w:rsidRPr="00D118FA">
              <w:rPr>
                <w:rFonts w:cs="Calibri"/>
                <w:szCs w:val="24"/>
                <w:lang w:val="en-US"/>
              </w:rPr>
              <w:t xml:space="preserve"> 1.2</w:t>
            </w:r>
          </w:p>
        </w:tc>
        <w:tc>
          <w:tcPr>
            <w:tcW w:w="2238" w:type="dxa"/>
          </w:tcPr>
          <w:p w14:paraId="594D482C" w14:textId="74D25B82" w:rsidR="004216FB" w:rsidRPr="00D118FA" w:rsidRDefault="004216FB" w:rsidP="004216FB">
            <w:pPr>
              <w:widowControl w:val="0"/>
              <w:spacing w:before="60" w:after="60" w:line="240" w:lineRule="auto"/>
              <w:jc w:val="center"/>
              <w:rPr>
                <w:rFonts w:cs="Calibri"/>
                <w:szCs w:val="24"/>
                <w:lang w:val="en-US"/>
              </w:rPr>
            </w:pPr>
            <w:r w:rsidRPr="00D118FA">
              <w:rPr>
                <w:rFonts w:cs="Calibri"/>
                <w:szCs w:val="24"/>
                <w:lang w:val="en-US"/>
              </w:rPr>
              <w:t>0.563</w:t>
            </w:r>
          </w:p>
        </w:tc>
      </w:tr>
      <w:tr w:rsidR="004216FB" w:rsidRPr="00D118FA" w14:paraId="09A8CD86" w14:textId="77777777" w:rsidTr="00D0477F">
        <w:tc>
          <w:tcPr>
            <w:tcW w:w="2362" w:type="dxa"/>
          </w:tcPr>
          <w:p w14:paraId="3AFFC0FC" w14:textId="77777777" w:rsidR="004216FB" w:rsidRPr="00D118FA" w:rsidRDefault="004216FB" w:rsidP="004216FB">
            <w:pPr>
              <w:widowControl w:val="0"/>
              <w:spacing w:before="60" w:after="60" w:line="240" w:lineRule="auto"/>
              <w:rPr>
                <w:rFonts w:eastAsia="Times New Roman" w:cs="Calibri"/>
                <w:szCs w:val="24"/>
                <w:lang w:val="en-US" w:eastAsia="de-DE"/>
              </w:rPr>
            </w:pPr>
          </w:p>
        </w:tc>
        <w:tc>
          <w:tcPr>
            <w:tcW w:w="2139" w:type="dxa"/>
          </w:tcPr>
          <w:p w14:paraId="009B55D3" w14:textId="34E2E78F" w:rsidR="004216FB" w:rsidRPr="00D118FA" w:rsidRDefault="004216FB" w:rsidP="004216FB">
            <w:pPr>
              <w:widowControl w:val="0"/>
              <w:spacing w:before="60" w:after="60" w:line="240" w:lineRule="auto"/>
              <w:jc w:val="center"/>
              <w:rPr>
                <w:rFonts w:eastAsia="Times New Roman" w:cs="Calibri"/>
                <w:szCs w:val="24"/>
                <w:lang w:val="en-US" w:eastAsia="de-DE"/>
              </w:rPr>
            </w:pPr>
          </w:p>
        </w:tc>
        <w:tc>
          <w:tcPr>
            <w:tcW w:w="2287" w:type="dxa"/>
          </w:tcPr>
          <w:p w14:paraId="62381DB2" w14:textId="2F359005" w:rsidR="004216FB" w:rsidRPr="00D118FA" w:rsidRDefault="004216FB" w:rsidP="004216FB">
            <w:pPr>
              <w:widowControl w:val="0"/>
              <w:spacing w:before="60" w:after="60" w:line="240" w:lineRule="auto"/>
              <w:jc w:val="center"/>
              <w:rPr>
                <w:rFonts w:eastAsia="Times New Roman" w:cs="Calibri"/>
                <w:szCs w:val="24"/>
                <w:lang w:val="en-US" w:eastAsia="de-DE"/>
              </w:rPr>
            </w:pPr>
          </w:p>
        </w:tc>
        <w:tc>
          <w:tcPr>
            <w:tcW w:w="2238" w:type="dxa"/>
          </w:tcPr>
          <w:p w14:paraId="1DD82FA7" w14:textId="77777777" w:rsidR="004216FB" w:rsidRPr="00D118FA" w:rsidRDefault="004216FB" w:rsidP="004216FB">
            <w:pPr>
              <w:widowControl w:val="0"/>
              <w:spacing w:before="60" w:after="60" w:line="240" w:lineRule="auto"/>
              <w:jc w:val="center"/>
              <w:rPr>
                <w:rFonts w:eastAsia="Times New Roman" w:cs="Calibri"/>
                <w:szCs w:val="24"/>
                <w:lang w:val="en-US" w:eastAsia="de-DE"/>
              </w:rPr>
            </w:pPr>
          </w:p>
        </w:tc>
      </w:tr>
      <w:tr w:rsidR="004216FB" w:rsidRPr="00D118FA" w14:paraId="03713AAA" w14:textId="77777777" w:rsidTr="00D0477F">
        <w:tc>
          <w:tcPr>
            <w:tcW w:w="2362" w:type="dxa"/>
          </w:tcPr>
          <w:p w14:paraId="2BE13578"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CAD, n</w:t>
            </w:r>
          </w:p>
        </w:tc>
        <w:tc>
          <w:tcPr>
            <w:tcW w:w="2139" w:type="dxa"/>
          </w:tcPr>
          <w:p w14:paraId="79CD0160" w14:textId="3D319B32"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17</w:t>
            </w:r>
          </w:p>
        </w:tc>
        <w:tc>
          <w:tcPr>
            <w:tcW w:w="2287" w:type="dxa"/>
          </w:tcPr>
          <w:p w14:paraId="48BAB656" w14:textId="331BACB3"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3***</w:t>
            </w:r>
          </w:p>
        </w:tc>
        <w:tc>
          <w:tcPr>
            <w:tcW w:w="2238" w:type="dxa"/>
          </w:tcPr>
          <w:p w14:paraId="3DF1E1D3" w14:textId="3AA58DA8"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0.001</w:t>
            </w:r>
          </w:p>
        </w:tc>
      </w:tr>
      <w:tr w:rsidR="004216FB" w:rsidRPr="00D118FA" w14:paraId="0DA70B33" w14:textId="77777777" w:rsidTr="00D0477F">
        <w:tc>
          <w:tcPr>
            <w:tcW w:w="2362" w:type="dxa"/>
          </w:tcPr>
          <w:p w14:paraId="29E44B86"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MVD/AVD, n</w:t>
            </w:r>
          </w:p>
        </w:tc>
        <w:tc>
          <w:tcPr>
            <w:tcW w:w="2139" w:type="dxa"/>
          </w:tcPr>
          <w:p w14:paraId="36321D43" w14:textId="47BD1935"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4</w:t>
            </w:r>
          </w:p>
        </w:tc>
        <w:tc>
          <w:tcPr>
            <w:tcW w:w="2287" w:type="dxa"/>
          </w:tcPr>
          <w:p w14:paraId="3B99550D" w14:textId="3C7CD95A"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7</w:t>
            </w:r>
          </w:p>
        </w:tc>
        <w:tc>
          <w:tcPr>
            <w:tcW w:w="2238" w:type="dxa"/>
          </w:tcPr>
          <w:p w14:paraId="0460B908" w14:textId="06587644"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0.153</w:t>
            </w:r>
          </w:p>
        </w:tc>
      </w:tr>
      <w:tr w:rsidR="004216FB" w:rsidRPr="00D118FA" w14:paraId="217FD2F1" w14:textId="77777777" w:rsidTr="00D0477F">
        <w:tc>
          <w:tcPr>
            <w:tcW w:w="2362" w:type="dxa"/>
          </w:tcPr>
          <w:p w14:paraId="5C656C35"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CAD+MVD/AVD, n</w:t>
            </w:r>
          </w:p>
        </w:tc>
        <w:tc>
          <w:tcPr>
            <w:tcW w:w="2139" w:type="dxa"/>
          </w:tcPr>
          <w:p w14:paraId="39F50E70" w14:textId="1CAB1608"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1</w:t>
            </w:r>
          </w:p>
        </w:tc>
        <w:tc>
          <w:tcPr>
            <w:tcW w:w="2287" w:type="dxa"/>
          </w:tcPr>
          <w:p w14:paraId="0937A8B8" w14:textId="6A78FD8E"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7**</w:t>
            </w:r>
          </w:p>
        </w:tc>
        <w:tc>
          <w:tcPr>
            <w:tcW w:w="2238" w:type="dxa"/>
          </w:tcPr>
          <w:p w14:paraId="37506001" w14:textId="768EDB87"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0.006</w:t>
            </w:r>
          </w:p>
        </w:tc>
      </w:tr>
      <w:tr w:rsidR="004216FB" w:rsidRPr="00D118FA" w14:paraId="520872B4" w14:textId="77777777" w:rsidTr="00D0477F">
        <w:tc>
          <w:tcPr>
            <w:tcW w:w="2362" w:type="dxa"/>
          </w:tcPr>
          <w:p w14:paraId="3FCC3374" w14:textId="77777777" w:rsidR="004216FB" w:rsidRPr="00D118FA" w:rsidRDefault="004216FB" w:rsidP="004216FB">
            <w:pPr>
              <w:widowControl w:val="0"/>
              <w:spacing w:before="60" w:after="60" w:line="240" w:lineRule="auto"/>
              <w:rPr>
                <w:rFonts w:eastAsia="Times New Roman" w:cs="Calibri"/>
                <w:szCs w:val="24"/>
                <w:lang w:val="en-US" w:eastAsia="de-DE"/>
              </w:rPr>
            </w:pPr>
          </w:p>
        </w:tc>
        <w:tc>
          <w:tcPr>
            <w:tcW w:w="2139" w:type="dxa"/>
          </w:tcPr>
          <w:p w14:paraId="17DEC30F" w14:textId="3F2ABC31" w:rsidR="004216FB" w:rsidRPr="00D118FA" w:rsidRDefault="004216FB" w:rsidP="004216FB">
            <w:pPr>
              <w:widowControl w:val="0"/>
              <w:spacing w:before="60" w:after="60" w:line="240" w:lineRule="auto"/>
              <w:jc w:val="center"/>
              <w:rPr>
                <w:rFonts w:eastAsia="Times New Roman" w:cs="Calibri"/>
                <w:szCs w:val="24"/>
                <w:lang w:val="en-US" w:eastAsia="de-DE"/>
              </w:rPr>
            </w:pPr>
          </w:p>
        </w:tc>
        <w:tc>
          <w:tcPr>
            <w:tcW w:w="2287" w:type="dxa"/>
          </w:tcPr>
          <w:p w14:paraId="57EDC8BA" w14:textId="6581C9E1" w:rsidR="004216FB" w:rsidRPr="00D118FA" w:rsidRDefault="004216FB" w:rsidP="004216FB">
            <w:pPr>
              <w:widowControl w:val="0"/>
              <w:spacing w:before="60" w:after="60" w:line="240" w:lineRule="auto"/>
              <w:jc w:val="center"/>
              <w:rPr>
                <w:rFonts w:eastAsia="Times New Roman" w:cs="Calibri"/>
                <w:szCs w:val="24"/>
                <w:lang w:val="en-US" w:eastAsia="de-DE"/>
              </w:rPr>
            </w:pPr>
          </w:p>
        </w:tc>
        <w:tc>
          <w:tcPr>
            <w:tcW w:w="2238" w:type="dxa"/>
          </w:tcPr>
          <w:p w14:paraId="583A5CD6" w14:textId="77777777" w:rsidR="004216FB" w:rsidRPr="00D118FA" w:rsidRDefault="004216FB" w:rsidP="004216FB">
            <w:pPr>
              <w:widowControl w:val="0"/>
              <w:spacing w:before="60" w:after="60" w:line="240" w:lineRule="auto"/>
              <w:jc w:val="center"/>
              <w:rPr>
                <w:rFonts w:eastAsia="Times New Roman" w:cs="Calibri"/>
                <w:szCs w:val="24"/>
                <w:lang w:val="en-US" w:eastAsia="de-DE"/>
              </w:rPr>
            </w:pPr>
          </w:p>
        </w:tc>
      </w:tr>
      <w:tr w:rsidR="004216FB" w:rsidRPr="00D118FA" w14:paraId="2C471214" w14:textId="77777777" w:rsidTr="00D0477F">
        <w:tc>
          <w:tcPr>
            <w:tcW w:w="2362" w:type="dxa"/>
          </w:tcPr>
          <w:p w14:paraId="292551FD"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Hypertension, n</w:t>
            </w:r>
          </w:p>
        </w:tc>
        <w:tc>
          <w:tcPr>
            <w:tcW w:w="2139" w:type="dxa"/>
          </w:tcPr>
          <w:p w14:paraId="17C70E49" w14:textId="50DD289C"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20</w:t>
            </w:r>
          </w:p>
        </w:tc>
        <w:tc>
          <w:tcPr>
            <w:tcW w:w="2287" w:type="dxa"/>
          </w:tcPr>
          <w:p w14:paraId="4A7BC2E9" w14:textId="4F6BCE0D"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16</w:t>
            </w:r>
          </w:p>
        </w:tc>
        <w:tc>
          <w:tcPr>
            <w:tcW w:w="2238" w:type="dxa"/>
          </w:tcPr>
          <w:p w14:paraId="08F14DEC" w14:textId="6E11E18C"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0.624</w:t>
            </w:r>
          </w:p>
        </w:tc>
      </w:tr>
      <w:tr w:rsidR="004216FB" w:rsidRPr="00D118FA" w14:paraId="5F48620B" w14:textId="77777777" w:rsidTr="00D0477F">
        <w:tc>
          <w:tcPr>
            <w:tcW w:w="2362" w:type="dxa"/>
          </w:tcPr>
          <w:p w14:paraId="3D8D5DB6"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Diabetes, n</w:t>
            </w:r>
          </w:p>
        </w:tc>
        <w:tc>
          <w:tcPr>
            <w:tcW w:w="2139" w:type="dxa"/>
          </w:tcPr>
          <w:p w14:paraId="7350DDCA" w14:textId="75CC9958"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5</w:t>
            </w:r>
          </w:p>
        </w:tc>
        <w:tc>
          <w:tcPr>
            <w:tcW w:w="2287" w:type="dxa"/>
          </w:tcPr>
          <w:p w14:paraId="005983F3" w14:textId="4523AFE4"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3</w:t>
            </w:r>
          </w:p>
        </w:tc>
        <w:tc>
          <w:tcPr>
            <w:tcW w:w="2238" w:type="dxa"/>
          </w:tcPr>
          <w:p w14:paraId="0527B49B" w14:textId="717921ED"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0.717</w:t>
            </w:r>
          </w:p>
        </w:tc>
      </w:tr>
      <w:tr w:rsidR="004216FB" w:rsidRPr="00D118FA" w14:paraId="5CCA0A2C" w14:textId="77777777" w:rsidTr="00D0477F">
        <w:tc>
          <w:tcPr>
            <w:tcW w:w="2362" w:type="dxa"/>
          </w:tcPr>
          <w:p w14:paraId="76E62FFF"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Hyperlipidemia, n</w:t>
            </w:r>
          </w:p>
        </w:tc>
        <w:tc>
          <w:tcPr>
            <w:tcW w:w="2139" w:type="dxa"/>
          </w:tcPr>
          <w:p w14:paraId="77CC4830" w14:textId="051F9F77"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7</w:t>
            </w:r>
          </w:p>
        </w:tc>
        <w:tc>
          <w:tcPr>
            <w:tcW w:w="2287" w:type="dxa"/>
          </w:tcPr>
          <w:p w14:paraId="72FA51B2" w14:textId="29353F58"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8</w:t>
            </w:r>
          </w:p>
        </w:tc>
        <w:tc>
          <w:tcPr>
            <w:tcW w:w="2238" w:type="dxa"/>
          </w:tcPr>
          <w:p w14:paraId="081D080A" w14:textId="2A780932"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0.508</w:t>
            </w:r>
          </w:p>
        </w:tc>
      </w:tr>
      <w:tr w:rsidR="004216FB" w:rsidRPr="00D118FA" w14:paraId="4F208D12" w14:textId="77777777" w:rsidTr="00D0477F">
        <w:tc>
          <w:tcPr>
            <w:tcW w:w="2362" w:type="dxa"/>
          </w:tcPr>
          <w:p w14:paraId="4DF53012" w14:textId="77777777" w:rsidR="004216FB" w:rsidRPr="00D118FA" w:rsidRDefault="004216FB" w:rsidP="004216FB">
            <w:pPr>
              <w:widowControl w:val="0"/>
              <w:spacing w:before="60" w:after="60" w:line="240" w:lineRule="auto"/>
              <w:rPr>
                <w:rFonts w:eastAsia="Times New Roman" w:cs="Calibri"/>
                <w:szCs w:val="24"/>
                <w:lang w:val="en-US" w:eastAsia="de-DE"/>
              </w:rPr>
            </w:pPr>
          </w:p>
        </w:tc>
        <w:tc>
          <w:tcPr>
            <w:tcW w:w="2139" w:type="dxa"/>
          </w:tcPr>
          <w:p w14:paraId="52420691" w14:textId="55084C69" w:rsidR="004216FB" w:rsidRPr="00D118FA" w:rsidRDefault="004216FB" w:rsidP="004216FB">
            <w:pPr>
              <w:widowControl w:val="0"/>
              <w:spacing w:before="60" w:after="60" w:line="240" w:lineRule="auto"/>
              <w:jc w:val="center"/>
              <w:rPr>
                <w:rFonts w:eastAsia="Times New Roman" w:cs="Calibri"/>
                <w:szCs w:val="24"/>
                <w:lang w:val="en-US" w:eastAsia="de-DE"/>
              </w:rPr>
            </w:pPr>
          </w:p>
        </w:tc>
        <w:tc>
          <w:tcPr>
            <w:tcW w:w="2287" w:type="dxa"/>
          </w:tcPr>
          <w:p w14:paraId="4A02D552" w14:textId="6AAB9F39" w:rsidR="004216FB" w:rsidRPr="00D118FA" w:rsidRDefault="004216FB" w:rsidP="004216FB">
            <w:pPr>
              <w:widowControl w:val="0"/>
              <w:spacing w:before="60" w:after="60" w:line="240" w:lineRule="auto"/>
              <w:jc w:val="center"/>
              <w:rPr>
                <w:rFonts w:eastAsia="Times New Roman" w:cs="Calibri"/>
                <w:szCs w:val="24"/>
                <w:lang w:val="en-US" w:eastAsia="de-DE"/>
              </w:rPr>
            </w:pPr>
          </w:p>
        </w:tc>
        <w:tc>
          <w:tcPr>
            <w:tcW w:w="2238" w:type="dxa"/>
          </w:tcPr>
          <w:p w14:paraId="69BE9329" w14:textId="77777777" w:rsidR="004216FB" w:rsidRPr="00D118FA" w:rsidRDefault="004216FB" w:rsidP="004216FB">
            <w:pPr>
              <w:widowControl w:val="0"/>
              <w:spacing w:before="60" w:after="60" w:line="240" w:lineRule="auto"/>
              <w:jc w:val="center"/>
              <w:rPr>
                <w:rFonts w:eastAsia="Times New Roman" w:cs="Calibri"/>
                <w:szCs w:val="24"/>
                <w:lang w:val="en-US" w:eastAsia="de-DE"/>
              </w:rPr>
            </w:pPr>
          </w:p>
        </w:tc>
      </w:tr>
      <w:tr w:rsidR="004216FB" w:rsidRPr="00D118FA" w14:paraId="448F69EF" w14:textId="77777777" w:rsidTr="00D0477F">
        <w:tc>
          <w:tcPr>
            <w:tcW w:w="2362" w:type="dxa"/>
          </w:tcPr>
          <w:p w14:paraId="2ED0CB13"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LVEF, %</w:t>
            </w:r>
          </w:p>
        </w:tc>
        <w:tc>
          <w:tcPr>
            <w:tcW w:w="2139" w:type="dxa"/>
          </w:tcPr>
          <w:p w14:paraId="1B0B6215" w14:textId="3BBA1FD2"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cs="Calibri"/>
                <w:szCs w:val="24"/>
                <w:lang w:val="en-US"/>
              </w:rPr>
              <w:t xml:space="preserve">48.7 </w:t>
            </w:r>
            <w:r w:rsidRPr="00D118FA">
              <w:rPr>
                <w:rFonts w:ascii="Symbol" w:eastAsia="Symbol" w:hAnsi="Symbol" w:cs="Symbol"/>
                <w:szCs w:val="24"/>
                <w:lang w:val="en-US"/>
              </w:rPr>
              <w:t></w:t>
            </w:r>
            <w:r w:rsidRPr="00D118FA">
              <w:rPr>
                <w:rFonts w:cs="Calibri"/>
                <w:szCs w:val="24"/>
                <w:lang w:val="en-US"/>
              </w:rPr>
              <w:t xml:space="preserve"> 2.3</w:t>
            </w:r>
          </w:p>
        </w:tc>
        <w:tc>
          <w:tcPr>
            <w:tcW w:w="2287" w:type="dxa"/>
          </w:tcPr>
          <w:p w14:paraId="1EBE92BA" w14:textId="6E638EE8"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cs="Calibri"/>
                <w:szCs w:val="24"/>
                <w:lang w:val="en-US"/>
              </w:rPr>
              <w:t xml:space="preserve">49.0 </w:t>
            </w:r>
            <w:r w:rsidRPr="00D118FA">
              <w:rPr>
                <w:rFonts w:ascii="Symbol" w:eastAsia="Symbol" w:hAnsi="Symbol" w:cs="Symbol"/>
                <w:szCs w:val="24"/>
                <w:lang w:val="en-US"/>
              </w:rPr>
              <w:t></w:t>
            </w:r>
            <w:r w:rsidRPr="00D118FA">
              <w:rPr>
                <w:rFonts w:cs="Calibri"/>
                <w:szCs w:val="24"/>
                <w:lang w:val="en-US"/>
              </w:rPr>
              <w:t xml:space="preserve"> 3.3</w:t>
            </w:r>
          </w:p>
        </w:tc>
        <w:tc>
          <w:tcPr>
            <w:tcW w:w="2238" w:type="dxa"/>
          </w:tcPr>
          <w:p w14:paraId="100FADE8" w14:textId="69A1B7E8" w:rsidR="004216FB" w:rsidRPr="00D118FA" w:rsidRDefault="004216FB" w:rsidP="004216FB">
            <w:pPr>
              <w:widowControl w:val="0"/>
              <w:spacing w:before="60" w:after="60" w:line="240" w:lineRule="auto"/>
              <w:jc w:val="center"/>
              <w:rPr>
                <w:rFonts w:cs="Calibri"/>
                <w:szCs w:val="24"/>
                <w:lang w:val="en-US"/>
              </w:rPr>
            </w:pPr>
            <w:r w:rsidRPr="00D118FA">
              <w:rPr>
                <w:rFonts w:cs="Calibri"/>
                <w:szCs w:val="24"/>
                <w:lang w:val="en-US"/>
              </w:rPr>
              <w:t>0.939</w:t>
            </w:r>
          </w:p>
        </w:tc>
      </w:tr>
      <w:tr w:rsidR="004216FB" w:rsidRPr="00D118FA" w14:paraId="416C012C" w14:textId="77777777" w:rsidTr="00D0477F">
        <w:tc>
          <w:tcPr>
            <w:tcW w:w="2362" w:type="dxa"/>
          </w:tcPr>
          <w:p w14:paraId="4CDFC8B2" w14:textId="77777777" w:rsidR="004216FB" w:rsidRPr="00D118FA" w:rsidRDefault="004216FB" w:rsidP="004216FB">
            <w:pPr>
              <w:widowControl w:val="0"/>
              <w:spacing w:before="60" w:after="60" w:line="240" w:lineRule="auto"/>
              <w:rPr>
                <w:rFonts w:eastAsia="Times New Roman" w:cs="Calibri"/>
                <w:szCs w:val="24"/>
                <w:lang w:val="en-US" w:eastAsia="de-DE"/>
              </w:rPr>
            </w:pPr>
          </w:p>
        </w:tc>
        <w:tc>
          <w:tcPr>
            <w:tcW w:w="2139" w:type="dxa"/>
          </w:tcPr>
          <w:p w14:paraId="40232A75" w14:textId="2CB310F2" w:rsidR="004216FB" w:rsidRPr="00D118FA" w:rsidRDefault="004216FB" w:rsidP="004216FB">
            <w:pPr>
              <w:widowControl w:val="0"/>
              <w:spacing w:before="60" w:after="60" w:line="240" w:lineRule="auto"/>
              <w:jc w:val="center"/>
              <w:rPr>
                <w:rFonts w:eastAsia="Times New Roman" w:cs="Calibri"/>
                <w:szCs w:val="24"/>
                <w:lang w:val="en-US" w:eastAsia="de-DE"/>
              </w:rPr>
            </w:pPr>
          </w:p>
        </w:tc>
        <w:tc>
          <w:tcPr>
            <w:tcW w:w="2287" w:type="dxa"/>
          </w:tcPr>
          <w:p w14:paraId="2020A385" w14:textId="183E64F0" w:rsidR="004216FB" w:rsidRPr="00D118FA" w:rsidRDefault="004216FB" w:rsidP="004216FB">
            <w:pPr>
              <w:widowControl w:val="0"/>
              <w:spacing w:before="60" w:after="60" w:line="240" w:lineRule="auto"/>
              <w:jc w:val="center"/>
              <w:rPr>
                <w:rFonts w:eastAsia="Times New Roman" w:cs="Calibri"/>
                <w:szCs w:val="24"/>
                <w:lang w:val="en-US" w:eastAsia="de-DE"/>
              </w:rPr>
            </w:pPr>
          </w:p>
        </w:tc>
        <w:tc>
          <w:tcPr>
            <w:tcW w:w="2238" w:type="dxa"/>
          </w:tcPr>
          <w:p w14:paraId="1F2DF711" w14:textId="77777777" w:rsidR="004216FB" w:rsidRPr="00D118FA" w:rsidRDefault="004216FB" w:rsidP="004216FB">
            <w:pPr>
              <w:widowControl w:val="0"/>
              <w:spacing w:before="60" w:after="60" w:line="240" w:lineRule="auto"/>
              <w:jc w:val="center"/>
              <w:rPr>
                <w:rFonts w:eastAsia="Times New Roman" w:cs="Calibri"/>
                <w:szCs w:val="24"/>
                <w:lang w:val="en-US" w:eastAsia="de-DE"/>
              </w:rPr>
            </w:pPr>
          </w:p>
        </w:tc>
      </w:tr>
      <w:tr w:rsidR="004216FB" w:rsidRPr="00D118FA" w14:paraId="19A86279" w14:textId="77777777" w:rsidTr="00D0477F">
        <w:tc>
          <w:tcPr>
            <w:tcW w:w="2362" w:type="dxa"/>
          </w:tcPr>
          <w:p w14:paraId="6775BF16"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Digitalis, n</w:t>
            </w:r>
          </w:p>
        </w:tc>
        <w:tc>
          <w:tcPr>
            <w:tcW w:w="2139" w:type="dxa"/>
          </w:tcPr>
          <w:p w14:paraId="2B30A17C" w14:textId="6C696FA8"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1</w:t>
            </w:r>
          </w:p>
        </w:tc>
        <w:tc>
          <w:tcPr>
            <w:tcW w:w="2287" w:type="dxa"/>
          </w:tcPr>
          <w:p w14:paraId="03AFDA82" w14:textId="23ED7346"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2</w:t>
            </w:r>
          </w:p>
        </w:tc>
        <w:tc>
          <w:tcPr>
            <w:tcW w:w="2238" w:type="dxa"/>
          </w:tcPr>
          <w:p w14:paraId="0C5E5325" w14:textId="024F2E26"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0.565</w:t>
            </w:r>
          </w:p>
        </w:tc>
      </w:tr>
      <w:tr w:rsidR="004216FB" w:rsidRPr="00D118FA" w14:paraId="25BB47C2" w14:textId="77777777" w:rsidTr="00D0477F">
        <w:tc>
          <w:tcPr>
            <w:tcW w:w="2362" w:type="dxa"/>
          </w:tcPr>
          <w:p w14:paraId="6BD67FFD"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ACE inhibitors, n</w:t>
            </w:r>
          </w:p>
        </w:tc>
        <w:tc>
          <w:tcPr>
            <w:tcW w:w="2139" w:type="dxa"/>
          </w:tcPr>
          <w:p w14:paraId="1EF90A6B" w14:textId="676C05FD"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7</w:t>
            </w:r>
          </w:p>
        </w:tc>
        <w:tc>
          <w:tcPr>
            <w:tcW w:w="2287" w:type="dxa"/>
          </w:tcPr>
          <w:p w14:paraId="531167F0" w14:textId="362EB8A4"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5</w:t>
            </w:r>
          </w:p>
        </w:tc>
        <w:tc>
          <w:tcPr>
            <w:tcW w:w="2238" w:type="dxa"/>
          </w:tcPr>
          <w:p w14:paraId="5DCD3D73" w14:textId="0E312829" w:rsidR="004216FB" w:rsidRPr="00D118FA" w:rsidRDefault="004216FB" w:rsidP="004216FB">
            <w:pPr>
              <w:widowControl w:val="0"/>
              <w:spacing w:before="60" w:after="60" w:line="240" w:lineRule="auto"/>
              <w:jc w:val="center"/>
              <w:rPr>
                <w:rFonts w:cs="Calibri"/>
                <w:szCs w:val="24"/>
                <w:lang w:val="en-US"/>
              </w:rPr>
            </w:pPr>
            <w:r w:rsidRPr="00D118FA">
              <w:rPr>
                <w:rFonts w:cs="Calibri"/>
                <w:szCs w:val="24"/>
                <w:lang w:val="en-US"/>
              </w:rPr>
              <w:t>1.000</w:t>
            </w:r>
          </w:p>
        </w:tc>
      </w:tr>
      <w:tr w:rsidR="004216FB" w:rsidRPr="00D118FA" w14:paraId="7BD0D7EF" w14:textId="77777777" w:rsidTr="00D0477F">
        <w:tc>
          <w:tcPr>
            <w:tcW w:w="2362" w:type="dxa"/>
          </w:tcPr>
          <w:p w14:paraId="1CBCB54C"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AT1 blockers, n</w:t>
            </w:r>
          </w:p>
        </w:tc>
        <w:tc>
          <w:tcPr>
            <w:tcW w:w="2139" w:type="dxa"/>
          </w:tcPr>
          <w:p w14:paraId="0E83D398" w14:textId="396E3D7A"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10</w:t>
            </w:r>
          </w:p>
        </w:tc>
        <w:tc>
          <w:tcPr>
            <w:tcW w:w="2287" w:type="dxa"/>
          </w:tcPr>
          <w:p w14:paraId="72591D6C" w14:textId="55393940"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8</w:t>
            </w:r>
          </w:p>
        </w:tc>
        <w:tc>
          <w:tcPr>
            <w:tcW w:w="2238" w:type="dxa"/>
          </w:tcPr>
          <w:p w14:paraId="5FCAA2B5" w14:textId="74EABBF0"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cs="Calibri"/>
                <w:szCs w:val="24"/>
                <w:lang w:val="en-US"/>
              </w:rPr>
              <w:t>1.000</w:t>
            </w:r>
          </w:p>
        </w:tc>
      </w:tr>
      <w:tr w:rsidR="004216FB" w:rsidRPr="00D118FA" w14:paraId="298EA14C" w14:textId="77777777" w:rsidTr="00D0477F">
        <w:tc>
          <w:tcPr>
            <w:tcW w:w="2362" w:type="dxa"/>
          </w:tcPr>
          <w:p w14:paraId="15F8F865"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ascii="Symbol" w:eastAsia="Symbol" w:hAnsi="Symbol" w:cs="Symbol"/>
                <w:szCs w:val="24"/>
                <w:lang w:val="en-US" w:eastAsia="de-DE"/>
              </w:rPr>
              <w:t></w:t>
            </w:r>
            <w:r w:rsidRPr="00D118FA">
              <w:rPr>
                <w:rFonts w:eastAsia="Times New Roman" w:cs="Calibri"/>
                <w:szCs w:val="24"/>
                <w:lang w:val="en-US" w:eastAsia="de-DE"/>
              </w:rPr>
              <w:t>-Blockers, n</w:t>
            </w:r>
          </w:p>
        </w:tc>
        <w:tc>
          <w:tcPr>
            <w:tcW w:w="2139" w:type="dxa"/>
          </w:tcPr>
          <w:p w14:paraId="0B5DE4E1" w14:textId="0F56347B"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16</w:t>
            </w:r>
          </w:p>
        </w:tc>
        <w:tc>
          <w:tcPr>
            <w:tcW w:w="2287" w:type="dxa"/>
          </w:tcPr>
          <w:p w14:paraId="2C224955" w14:textId="7927F932"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16</w:t>
            </w:r>
          </w:p>
        </w:tc>
        <w:tc>
          <w:tcPr>
            <w:tcW w:w="2238" w:type="dxa"/>
          </w:tcPr>
          <w:p w14:paraId="3A640132" w14:textId="60A27B5D" w:rsidR="004216FB" w:rsidRPr="00D118FA" w:rsidRDefault="004216FB" w:rsidP="004216FB">
            <w:pPr>
              <w:widowControl w:val="0"/>
              <w:spacing w:before="60" w:after="60" w:line="240" w:lineRule="auto"/>
              <w:jc w:val="center"/>
              <w:rPr>
                <w:rFonts w:cs="Calibri"/>
                <w:szCs w:val="24"/>
                <w:lang w:val="en-US"/>
              </w:rPr>
            </w:pPr>
            <w:r w:rsidRPr="00D118FA">
              <w:rPr>
                <w:rFonts w:cs="Calibri"/>
                <w:szCs w:val="24"/>
                <w:lang w:val="en-US"/>
              </w:rPr>
              <w:t>0.107</w:t>
            </w:r>
          </w:p>
        </w:tc>
      </w:tr>
      <w:tr w:rsidR="004216FB" w:rsidRPr="00D118FA" w14:paraId="0A05868A" w14:textId="77777777" w:rsidTr="00D0477F">
        <w:tc>
          <w:tcPr>
            <w:tcW w:w="2362" w:type="dxa"/>
          </w:tcPr>
          <w:p w14:paraId="5FCEBB0C"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Dihydropyridines, n</w:t>
            </w:r>
          </w:p>
        </w:tc>
        <w:tc>
          <w:tcPr>
            <w:tcW w:w="2139" w:type="dxa"/>
          </w:tcPr>
          <w:p w14:paraId="18EA9E6B" w14:textId="0D8FDAF1"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6</w:t>
            </w:r>
          </w:p>
        </w:tc>
        <w:tc>
          <w:tcPr>
            <w:tcW w:w="2287" w:type="dxa"/>
          </w:tcPr>
          <w:p w14:paraId="7BCC274A" w14:textId="62CF190E"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7</w:t>
            </w:r>
          </w:p>
        </w:tc>
        <w:tc>
          <w:tcPr>
            <w:tcW w:w="2238" w:type="dxa"/>
          </w:tcPr>
          <w:p w14:paraId="620C3977" w14:textId="5194863B"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0.496</w:t>
            </w:r>
          </w:p>
        </w:tc>
      </w:tr>
      <w:tr w:rsidR="004216FB" w:rsidRPr="00D118FA" w14:paraId="47D30AB5" w14:textId="77777777" w:rsidTr="00D0477F">
        <w:tc>
          <w:tcPr>
            <w:tcW w:w="2362" w:type="dxa"/>
          </w:tcPr>
          <w:p w14:paraId="11071CB9"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Diuretics, n</w:t>
            </w:r>
          </w:p>
        </w:tc>
        <w:tc>
          <w:tcPr>
            <w:tcW w:w="2139" w:type="dxa"/>
          </w:tcPr>
          <w:p w14:paraId="58E5AEB6" w14:textId="3E010F32"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11</w:t>
            </w:r>
          </w:p>
        </w:tc>
        <w:tc>
          <w:tcPr>
            <w:tcW w:w="2287" w:type="dxa"/>
          </w:tcPr>
          <w:p w14:paraId="7E6C5D39" w14:textId="49B0B43A"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15*</w:t>
            </w:r>
          </w:p>
        </w:tc>
        <w:tc>
          <w:tcPr>
            <w:tcW w:w="2238" w:type="dxa"/>
          </w:tcPr>
          <w:p w14:paraId="1E413D22" w14:textId="605AA467"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0.017</w:t>
            </w:r>
          </w:p>
        </w:tc>
      </w:tr>
      <w:tr w:rsidR="004216FB" w:rsidRPr="00D118FA" w14:paraId="18309DF4" w14:textId="77777777" w:rsidTr="00D0477F">
        <w:tc>
          <w:tcPr>
            <w:tcW w:w="2362" w:type="dxa"/>
            <w:tcBorders>
              <w:bottom w:val="none" w:sz="4" w:space="0" w:color="000000"/>
            </w:tcBorders>
          </w:tcPr>
          <w:p w14:paraId="064E94EE"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Nitrates, n</w:t>
            </w:r>
          </w:p>
        </w:tc>
        <w:tc>
          <w:tcPr>
            <w:tcW w:w="2139" w:type="dxa"/>
            <w:tcBorders>
              <w:bottom w:val="none" w:sz="4" w:space="0" w:color="000000"/>
            </w:tcBorders>
          </w:tcPr>
          <w:p w14:paraId="0FB41367" w14:textId="1AFEDE5A"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cs="Calibri"/>
                <w:szCs w:val="24"/>
                <w:lang w:val="en-US"/>
              </w:rPr>
              <w:t>1</w:t>
            </w:r>
          </w:p>
        </w:tc>
        <w:tc>
          <w:tcPr>
            <w:tcW w:w="2287" w:type="dxa"/>
            <w:tcBorders>
              <w:bottom w:val="none" w:sz="4" w:space="0" w:color="000000"/>
            </w:tcBorders>
          </w:tcPr>
          <w:p w14:paraId="0A591EF4" w14:textId="3EA4EEE6"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0</w:t>
            </w:r>
          </w:p>
        </w:tc>
        <w:tc>
          <w:tcPr>
            <w:tcW w:w="2238" w:type="dxa"/>
            <w:tcBorders>
              <w:bottom w:val="none" w:sz="4" w:space="0" w:color="000000"/>
            </w:tcBorders>
          </w:tcPr>
          <w:p w14:paraId="18052387" w14:textId="3D9EB482"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cs="Calibri"/>
                <w:szCs w:val="24"/>
                <w:lang w:val="en-US"/>
              </w:rPr>
              <w:t>1.000</w:t>
            </w:r>
          </w:p>
        </w:tc>
      </w:tr>
      <w:tr w:rsidR="004216FB" w:rsidRPr="00D118FA" w14:paraId="31007796" w14:textId="77777777" w:rsidTr="00D0477F">
        <w:tc>
          <w:tcPr>
            <w:tcW w:w="2362" w:type="dxa"/>
            <w:tcBorders>
              <w:top w:val="none" w:sz="4" w:space="0" w:color="000000"/>
              <w:bottom w:val="single" w:sz="12" w:space="0" w:color="000000"/>
            </w:tcBorders>
          </w:tcPr>
          <w:p w14:paraId="1C285E0D" w14:textId="77777777" w:rsidR="004216FB" w:rsidRPr="00D118FA" w:rsidRDefault="004216FB" w:rsidP="004216FB">
            <w:pPr>
              <w:widowControl w:val="0"/>
              <w:spacing w:before="60" w:after="60" w:line="240" w:lineRule="auto"/>
              <w:rPr>
                <w:rFonts w:eastAsia="Times New Roman" w:cs="Calibri"/>
                <w:szCs w:val="24"/>
                <w:lang w:val="en-US" w:eastAsia="de-DE"/>
              </w:rPr>
            </w:pPr>
            <w:r w:rsidRPr="00D118FA">
              <w:rPr>
                <w:rFonts w:eastAsia="Times New Roman" w:cs="Calibri"/>
                <w:szCs w:val="24"/>
                <w:lang w:val="en-US" w:eastAsia="de-DE"/>
              </w:rPr>
              <w:t>Lipid-lowering drugs, n</w:t>
            </w:r>
          </w:p>
        </w:tc>
        <w:tc>
          <w:tcPr>
            <w:tcW w:w="2139" w:type="dxa"/>
            <w:tcBorders>
              <w:top w:val="none" w:sz="4" w:space="0" w:color="000000"/>
              <w:bottom w:val="single" w:sz="12" w:space="0" w:color="000000"/>
            </w:tcBorders>
          </w:tcPr>
          <w:p w14:paraId="53ACEC57" w14:textId="679B331E"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17</w:t>
            </w:r>
          </w:p>
        </w:tc>
        <w:tc>
          <w:tcPr>
            <w:tcW w:w="2287" w:type="dxa"/>
            <w:tcBorders>
              <w:top w:val="none" w:sz="4" w:space="0" w:color="000000"/>
              <w:bottom w:val="single" w:sz="12" w:space="0" w:color="000000"/>
            </w:tcBorders>
          </w:tcPr>
          <w:p w14:paraId="2BF3BAB8" w14:textId="7EC278D0"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eastAsia="Times New Roman" w:cs="Calibri"/>
                <w:szCs w:val="24"/>
                <w:lang w:val="en-US" w:eastAsia="de-DE"/>
              </w:rPr>
              <w:t>13</w:t>
            </w:r>
          </w:p>
        </w:tc>
        <w:tc>
          <w:tcPr>
            <w:tcW w:w="2238" w:type="dxa"/>
            <w:tcBorders>
              <w:top w:val="none" w:sz="4" w:space="0" w:color="000000"/>
              <w:bottom w:val="single" w:sz="12" w:space="0" w:color="000000"/>
            </w:tcBorders>
          </w:tcPr>
          <w:p w14:paraId="404EFB03" w14:textId="1BC2DE29" w:rsidR="004216FB" w:rsidRPr="00D118FA" w:rsidRDefault="004216FB" w:rsidP="004216FB">
            <w:pPr>
              <w:widowControl w:val="0"/>
              <w:spacing w:before="60" w:after="60" w:line="240" w:lineRule="auto"/>
              <w:jc w:val="center"/>
              <w:rPr>
                <w:rFonts w:eastAsia="Times New Roman" w:cs="Calibri"/>
                <w:szCs w:val="24"/>
                <w:lang w:val="en-US" w:eastAsia="de-DE"/>
              </w:rPr>
            </w:pPr>
            <w:r w:rsidRPr="00D118FA">
              <w:rPr>
                <w:rFonts w:cs="Calibri"/>
                <w:szCs w:val="24"/>
                <w:lang w:val="en-US"/>
              </w:rPr>
              <w:t>1.000</w:t>
            </w:r>
          </w:p>
        </w:tc>
      </w:tr>
    </w:tbl>
    <w:p w14:paraId="0F253D3D" w14:textId="3EA513B3" w:rsidR="00277047" w:rsidRDefault="004216FB" w:rsidP="00277047">
      <w:pPr>
        <w:spacing w:after="0" w:line="240" w:lineRule="auto"/>
        <w:rPr>
          <w:lang w:val="en-US"/>
        </w:rPr>
      </w:pPr>
      <w:r w:rsidRPr="00D118FA">
        <w:rPr>
          <w:lang w:val="en-US"/>
        </w:rPr>
        <w:t xml:space="preserve">ACE, angiotensin-converting enzyme; AT, angiotensin receptor; CAD, coronary artery disease; LVEF, left ventricular ejection fraction; MVD/AVD, mitral/aortic valve disease. Continuous data are expressed as mean </w:t>
      </w:r>
      <w:r w:rsidRPr="00D118FA">
        <w:rPr>
          <w:rFonts w:ascii="Symbol" w:eastAsia="Symbol" w:hAnsi="Symbol" w:cs="Symbol"/>
          <w:lang w:val="en-US"/>
        </w:rPr>
        <w:t></w:t>
      </w:r>
      <w:r w:rsidRPr="00D118FA">
        <w:rPr>
          <w:lang w:val="en-US"/>
        </w:rPr>
        <w:t xml:space="preserve"> SEM. *</w:t>
      </w:r>
      <w:r w:rsidRPr="00D118FA">
        <w:rPr>
          <w:i/>
          <w:lang w:val="en-US"/>
        </w:rPr>
        <w:t>p</w:t>
      </w:r>
      <w:r w:rsidRPr="00D118FA">
        <w:rPr>
          <w:lang w:val="en-US"/>
        </w:rPr>
        <w:t xml:space="preserve"> &lt; 0.05, **</w:t>
      </w:r>
      <w:r w:rsidRPr="00D118FA">
        <w:rPr>
          <w:i/>
          <w:lang w:val="en-US"/>
        </w:rPr>
        <w:t>p</w:t>
      </w:r>
      <w:r w:rsidRPr="00D118FA">
        <w:rPr>
          <w:lang w:val="en-US"/>
        </w:rPr>
        <w:t xml:space="preserve"> &lt; 0.01 and ***</w:t>
      </w:r>
      <w:r w:rsidRPr="00D118FA">
        <w:rPr>
          <w:i/>
          <w:lang w:val="en-US"/>
        </w:rPr>
        <w:t>p</w:t>
      </w:r>
      <w:r w:rsidRPr="00D118FA">
        <w:rPr>
          <w:lang w:val="en-US"/>
        </w:rPr>
        <w:t xml:space="preserve">  &lt;0.001. Comparison was made using Student’s t-test and Fisher’s exact test for continuous and categorical data, respectively.</w:t>
      </w:r>
    </w:p>
    <w:p w14:paraId="3F1B4451" w14:textId="0CAD44FE" w:rsidR="00AC019B" w:rsidRPr="001127A1" w:rsidRDefault="00AC019B" w:rsidP="00FC37A0">
      <w:pPr>
        <w:pageBreakBefore/>
        <w:spacing w:after="0"/>
        <w:rPr>
          <w:b/>
          <w:bCs/>
          <w:color w:val="000000" w:themeColor="text1"/>
          <w:sz w:val="24"/>
          <w:szCs w:val="24"/>
          <w:lang w:val="en-US"/>
        </w:rPr>
      </w:pPr>
      <w:r w:rsidRPr="001127A1">
        <w:rPr>
          <w:b/>
          <w:bCs/>
          <w:color w:val="000000" w:themeColor="text1"/>
          <w:sz w:val="24"/>
          <w:szCs w:val="24"/>
          <w:lang w:val="en-US"/>
        </w:rPr>
        <w:lastRenderedPageBreak/>
        <w:t xml:space="preserve">Table S8. Concordance of primary </w:t>
      </w:r>
      <w:r w:rsidRPr="001127A1">
        <w:rPr>
          <w:b/>
          <w:bCs/>
          <w:i/>
          <w:color w:val="000000" w:themeColor="text1"/>
          <w:sz w:val="24"/>
          <w:szCs w:val="24"/>
          <w:lang w:val="en-US"/>
        </w:rPr>
        <w:t>vs</w:t>
      </w:r>
      <w:r w:rsidRPr="001127A1">
        <w:rPr>
          <w:b/>
          <w:bCs/>
          <w:color w:val="000000" w:themeColor="text1"/>
          <w:sz w:val="24"/>
          <w:szCs w:val="24"/>
          <w:lang w:val="en-US"/>
        </w:rPr>
        <w:t xml:space="preserve"> fully adjusted tissue-proteomics effects (</w:t>
      </w:r>
      <w:proofErr w:type="spellStart"/>
      <w:r w:rsidRPr="001127A1">
        <w:rPr>
          <w:b/>
          <w:bCs/>
          <w:color w:val="000000" w:themeColor="text1"/>
          <w:sz w:val="24"/>
          <w:szCs w:val="24"/>
          <w:lang w:val="en-US"/>
        </w:rPr>
        <w:t>persAF</w:t>
      </w:r>
      <w:proofErr w:type="spellEnd"/>
      <w:r w:rsidRPr="001127A1">
        <w:rPr>
          <w:b/>
          <w:bCs/>
          <w:color w:val="000000" w:themeColor="text1"/>
          <w:sz w:val="24"/>
          <w:szCs w:val="24"/>
          <w:lang w:val="en-US"/>
        </w:rPr>
        <w:t>–SR).</w:t>
      </w:r>
    </w:p>
    <w:tbl>
      <w:tblPr>
        <w:tblW w:w="5000" w:type="pct"/>
        <w:tblLook w:val="04A0" w:firstRow="1" w:lastRow="0" w:firstColumn="1" w:lastColumn="0" w:noHBand="0" w:noVBand="1"/>
      </w:tblPr>
      <w:tblGrid>
        <w:gridCol w:w="843"/>
        <w:gridCol w:w="1067"/>
        <w:gridCol w:w="847"/>
        <w:gridCol w:w="1044"/>
        <w:gridCol w:w="847"/>
        <w:gridCol w:w="2194"/>
        <w:gridCol w:w="2184"/>
      </w:tblGrid>
      <w:tr w:rsidR="00AC019B" w:rsidRPr="001127A1" w14:paraId="17835FBE" w14:textId="77777777" w:rsidTr="00E20183">
        <w:trPr>
          <w:trHeight w:val="20"/>
        </w:trPr>
        <w:tc>
          <w:tcPr>
            <w:tcW w:w="489" w:type="pct"/>
            <w:tcBorders>
              <w:top w:val="nil"/>
              <w:left w:val="nil"/>
              <w:bottom w:val="single" w:sz="12" w:space="0" w:color="auto"/>
              <w:right w:val="nil"/>
            </w:tcBorders>
            <w:noWrap/>
            <w:vAlign w:val="center"/>
            <w:hideMark/>
          </w:tcPr>
          <w:p w14:paraId="24E23C19" w14:textId="0F08ABD6" w:rsidR="00E20183" w:rsidRPr="001127A1" w:rsidRDefault="00E20183" w:rsidP="00FC37A0">
            <w:pPr>
              <w:spacing w:after="0"/>
              <w:jc w:val="center"/>
              <w:rPr>
                <w:rFonts w:asciiTheme="minorHAnsi" w:eastAsia="Times New Roman" w:hAnsiTheme="minorHAnsi" w:cstheme="minorHAnsi"/>
                <w:b/>
                <w:bCs/>
                <w:color w:val="000000"/>
                <w:sz w:val="18"/>
                <w:szCs w:val="18"/>
                <w:lang w:val="en-US"/>
              </w:rPr>
            </w:pPr>
            <w:proofErr w:type="spellStart"/>
            <w:r w:rsidRPr="001127A1">
              <w:rPr>
                <w:rFonts w:asciiTheme="minorHAnsi" w:eastAsia="Times New Roman" w:hAnsiTheme="minorHAnsi" w:cstheme="minorHAnsi"/>
                <w:b/>
                <w:bCs/>
                <w:color w:val="000000"/>
                <w:sz w:val="18"/>
                <w:szCs w:val="18"/>
                <w:lang w:val="en-US"/>
              </w:rPr>
              <w:t>prot</w:t>
            </w:r>
            <w:proofErr w:type="spellEnd"/>
          </w:p>
        </w:tc>
        <w:tc>
          <w:tcPr>
            <w:tcW w:w="613" w:type="pct"/>
            <w:tcBorders>
              <w:top w:val="nil"/>
              <w:left w:val="nil"/>
              <w:bottom w:val="single" w:sz="12" w:space="0" w:color="auto"/>
              <w:right w:val="nil"/>
            </w:tcBorders>
            <w:noWrap/>
            <w:vAlign w:val="center"/>
            <w:hideMark/>
          </w:tcPr>
          <w:p w14:paraId="16286333" w14:textId="0B195D3C" w:rsidR="00AC019B" w:rsidRPr="001127A1" w:rsidRDefault="00AC019B" w:rsidP="00FC37A0">
            <w:pPr>
              <w:spacing w:after="0"/>
              <w:jc w:val="center"/>
              <w:rPr>
                <w:rFonts w:asciiTheme="minorHAnsi" w:eastAsia="Times New Roman" w:hAnsiTheme="minorHAnsi" w:cstheme="minorHAnsi"/>
                <w:b/>
                <w:bCs/>
                <w:color w:val="000000"/>
                <w:sz w:val="18"/>
                <w:szCs w:val="18"/>
                <w:lang w:val="en-US"/>
              </w:rPr>
            </w:pPr>
            <w:r w:rsidRPr="001127A1">
              <w:rPr>
                <w:b/>
                <w:lang w:val="en-US"/>
              </w:rPr>
              <w:t>β</w:t>
            </w:r>
            <w:r w:rsidRPr="001127A1">
              <w:rPr>
                <w:rFonts w:asciiTheme="minorHAnsi" w:eastAsia="Times New Roman" w:hAnsiTheme="minorHAnsi" w:cstheme="minorHAnsi"/>
                <w:b/>
                <w:bCs/>
                <w:color w:val="000000"/>
                <w:sz w:val="18"/>
                <w:szCs w:val="18"/>
                <w:lang w:val="en-US"/>
              </w:rPr>
              <w:t xml:space="preserve"> _main</w:t>
            </w:r>
          </w:p>
        </w:tc>
        <w:tc>
          <w:tcPr>
            <w:tcW w:w="489" w:type="pct"/>
            <w:tcBorders>
              <w:top w:val="nil"/>
              <w:left w:val="nil"/>
              <w:bottom w:val="single" w:sz="12" w:space="0" w:color="auto"/>
              <w:right w:val="nil"/>
            </w:tcBorders>
            <w:noWrap/>
            <w:vAlign w:val="center"/>
            <w:hideMark/>
          </w:tcPr>
          <w:p w14:paraId="26726662" w14:textId="77777777" w:rsidR="00AC019B" w:rsidRPr="001127A1" w:rsidRDefault="00AC019B" w:rsidP="00FC37A0">
            <w:pPr>
              <w:spacing w:after="0"/>
              <w:jc w:val="center"/>
              <w:rPr>
                <w:rFonts w:asciiTheme="minorHAnsi" w:eastAsia="Times New Roman" w:hAnsiTheme="minorHAnsi" w:cstheme="minorHAnsi"/>
                <w:b/>
                <w:bCs/>
                <w:color w:val="000000"/>
                <w:sz w:val="18"/>
                <w:szCs w:val="18"/>
                <w:lang w:val="en-US"/>
              </w:rPr>
            </w:pPr>
            <w:proofErr w:type="spellStart"/>
            <w:r w:rsidRPr="001127A1">
              <w:rPr>
                <w:rFonts w:asciiTheme="minorHAnsi" w:eastAsia="Times New Roman" w:hAnsiTheme="minorHAnsi" w:cstheme="minorHAnsi"/>
                <w:b/>
                <w:bCs/>
                <w:i/>
                <w:color w:val="000000"/>
                <w:sz w:val="18"/>
                <w:szCs w:val="18"/>
                <w:lang w:val="en-US"/>
              </w:rPr>
              <w:t>p</w:t>
            </w:r>
            <w:r w:rsidRPr="001127A1">
              <w:rPr>
                <w:rFonts w:asciiTheme="minorHAnsi" w:eastAsia="Times New Roman" w:hAnsiTheme="minorHAnsi" w:cstheme="minorHAnsi"/>
                <w:b/>
                <w:bCs/>
                <w:color w:val="000000"/>
                <w:sz w:val="18"/>
                <w:szCs w:val="18"/>
                <w:lang w:val="en-US"/>
              </w:rPr>
              <w:t>_main</w:t>
            </w:r>
            <w:proofErr w:type="spellEnd"/>
          </w:p>
        </w:tc>
        <w:tc>
          <w:tcPr>
            <w:tcW w:w="602" w:type="pct"/>
            <w:tcBorders>
              <w:top w:val="nil"/>
              <w:left w:val="nil"/>
              <w:bottom w:val="single" w:sz="12" w:space="0" w:color="auto"/>
              <w:right w:val="nil"/>
            </w:tcBorders>
            <w:noWrap/>
            <w:vAlign w:val="center"/>
            <w:hideMark/>
          </w:tcPr>
          <w:p w14:paraId="0DCE82B0" w14:textId="59A4F6FB" w:rsidR="00AC019B" w:rsidRPr="001127A1" w:rsidRDefault="00AC019B" w:rsidP="00FC37A0">
            <w:pPr>
              <w:spacing w:after="0"/>
              <w:jc w:val="center"/>
              <w:rPr>
                <w:rFonts w:asciiTheme="minorHAnsi" w:eastAsia="Times New Roman" w:hAnsiTheme="minorHAnsi" w:cstheme="minorHAnsi"/>
                <w:b/>
                <w:bCs/>
                <w:color w:val="000000"/>
                <w:sz w:val="18"/>
                <w:szCs w:val="18"/>
                <w:lang w:val="en-US"/>
              </w:rPr>
            </w:pPr>
            <w:r w:rsidRPr="001127A1">
              <w:rPr>
                <w:b/>
                <w:lang w:val="en-US"/>
              </w:rPr>
              <w:t>β</w:t>
            </w:r>
            <w:r w:rsidRPr="001127A1">
              <w:rPr>
                <w:rFonts w:asciiTheme="minorHAnsi" w:eastAsia="Times New Roman" w:hAnsiTheme="minorHAnsi" w:cstheme="minorHAnsi"/>
                <w:b/>
                <w:bCs/>
                <w:color w:val="000000"/>
                <w:sz w:val="18"/>
                <w:szCs w:val="18"/>
                <w:lang w:val="en-US"/>
              </w:rPr>
              <w:t xml:space="preserve"> _</w:t>
            </w:r>
            <w:proofErr w:type="spellStart"/>
            <w:r w:rsidRPr="001127A1">
              <w:rPr>
                <w:rFonts w:asciiTheme="minorHAnsi" w:eastAsia="Times New Roman" w:hAnsiTheme="minorHAnsi" w:cstheme="minorHAnsi"/>
                <w:b/>
                <w:bCs/>
                <w:color w:val="000000"/>
                <w:sz w:val="18"/>
                <w:szCs w:val="18"/>
                <w:lang w:val="en-US"/>
              </w:rPr>
              <w:t>sens</w:t>
            </w:r>
            <w:proofErr w:type="spellEnd"/>
          </w:p>
        </w:tc>
        <w:tc>
          <w:tcPr>
            <w:tcW w:w="489" w:type="pct"/>
            <w:tcBorders>
              <w:top w:val="nil"/>
              <w:left w:val="nil"/>
              <w:bottom w:val="single" w:sz="12" w:space="0" w:color="auto"/>
              <w:right w:val="nil"/>
            </w:tcBorders>
            <w:noWrap/>
            <w:vAlign w:val="center"/>
            <w:hideMark/>
          </w:tcPr>
          <w:p w14:paraId="46785F8C" w14:textId="4F2B4978" w:rsidR="00AC019B" w:rsidRPr="001127A1" w:rsidRDefault="00AC019B" w:rsidP="00FC37A0">
            <w:pPr>
              <w:spacing w:after="0"/>
              <w:jc w:val="center"/>
              <w:rPr>
                <w:rFonts w:asciiTheme="minorHAnsi" w:eastAsia="Times New Roman" w:hAnsiTheme="minorHAnsi" w:cstheme="minorHAnsi"/>
                <w:b/>
                <w:bCs/>
                <w:color w:val="000000"/>
                <w:sz w:val="18"/>
                <w:szCs w:val="18"/>
                <w:lang w:val="en-US"/>
              </w:rPr>
            </w:pPr>
            <w:proofErr w:type="spellStart"/>
            <w:r w:rsidRPr="001127A1">
              <w:rPr>
                <w:rFonts w:asciiTheme="minorHAnsi" w:eastAsia="Times New Roman" w:hAnsiTheme="minorHAnsi" w:cstheme="minorHAnsi"/>
                <w:b/>
                <w:bCs/>
                <w:i/>
                <w:color w:val="000000"/>
                <w:sz w:val="18"/>
                <w:szCs w:val="18"/>
                <w:lang w:val="en-US"/>
              </w:rPr>
              <w:t>p</w:t>
            </w:r>
            <w:r w:rsidRPr="001127A1">
              <w:rPr>
                <w:rFonts w:asciiTheme="minorHAnsi" w:eastAsia="Times New Roman" w:hAnsiTheme="minorHAnsi" w:cstheme="minorHAnsi"/>
                <w:b/>
                <w:bCs/>
                <w:color w:val="000000"/>
                <w:sz w:val="18"/>
                <w:szCs w:val="18"/>
                <w:lang w:val="en-US"/>
              </w:rPr>
              <w:t>_sens</w:t>
            </w:r>
            <w:proofErr w:type="spellEnd"/>
          </w:p>
        </w:tc>
        <w:tc>
          <w:tcPr>
            <w:tcW w:w="1162" w:type="pct"/>
            <w:tcBorders>
              <w:top w:val="nil"/>
              <w:left w:val="nil"/>
              <w:bottom w:val="single" w:sz="12" w:space="0" w:color="auto"/>
              <w:right w:val="nil"/>
            </w:tcBorders>
            <w:noWrap/>
            <w:vAlign w:val="center"/>
            <w:hideMark/>
          </w:tcPr>
          <w:p w14:paraId="12F64DE3" w14:textId="15892FFA" w:rsidR="00AC019B" w:rsidRPr="001127A1" w:rsidRDefault="00AC019B" w:rsidP="00FC37A0">
            <w:pPr>
              <w:spacing w:after="0"/>
              <w:jc w:val="center"/>
              <w:rPr>
                <w:rFonts w:asciiTheme="minorHAnsi" w:eastAsia="Times New Roman" w:hAnsiTheme="minorHAnsi" w:cstheme="minorHAnsi"/>
                <w:b/>
                <w:bCs/>
                <w:color w:val="000000"/>
                <w:sz w:val="18"/>
                <w:szCs w:val="18"/>
                <w:lang w:val="en-US"/>
              </w:rPr>
            </w:pPr>
            <w:r w:rsidRPr="001127A1">
              <w:rPr>
                <w:rFonts w:asciiTheme="minorHAnsi" w:eastAsia="Times New Roman" w:hAnsiTheme="minorHAnsi" w:cstheme="minorHAnsi"/>
                <w:b/>
                <w:bCs/>
                <w:color w:val="000000"/>
                <w:sz w:val="18"/>
                <w:szCs w:val="18"/>
                <w:lang w:val="en-US"/>
              </w:rPr>
              <w:t>abs_log</w:t>
            </w:r>
            <w:r w:rsidRPr="001127A1">
              <w:rPr>
                <w:rFonts w:asciiTheme="minorHAnsi" w:eastAsia="Times New Roman" w:hAnsiTheme="minorHAnsi" w:cstheme="minorHAnsi"/>
                <w:b/>
                <w:bCs/>
                <w:color w:val="000000"/>
                <w:sz w:val="18"/>
                <w:szCs w:val="18"/>
                <w:vertAlign w:val="subscript"/>
                <w:lang w:val="en-US"/>
              </w:rPr>
              <w:t>2</w:t>
            </w:r>
            <w:r w:rsidRPr="001127A1">
              <w:rPr>
                <w:rFonts w:asciiTheme="minorHAnsi" w:eastAsia="Times New Roman" w:hAnsiTheme="minorHAnsi" w:cstheme="minorHAnsi"/>
                <w:b/>
                <w:bCs/>
                <w:color w:val="000000"/>
                <w:sz w:val="18"/>
                <w:szCs w:val="18"/>
                <w:lang w:val="en-US"/>
              </w:rPr>
              <w:t>FC_</w:t>
            </w:r>
            <w:r w:rsidR="00E20183" w:rsidRPr="001127A1">
              <w:rPr>
                <w:rFonts w:asciiTheme="minorHAnsi" w:eastAsia="Times New Roman" w:hAnsiTheme="minorHAnsi" w:cstheme="minorHAnsi"/>
                <w:b/>
                <w:bCs/>
                <w:color w:val="000000"/>
                <w:sz w:val="18"/>
                <w:szCs w:val="18"/>
                <w:lang w:val="en-US"/>
              </w:rPr>
              <w:t>FDR</w:t>
            </w:r>
            <w:r w:rsidRPr="001127A1">
              <w:rPr>
                <w:rFonts w:asciiTheme="minorHAnsi" w:eastAsia="Times New Roman" w:hAnsiTheme="minorHAnsi" w:cstheme="minorHAnsi"/>
                <w:b/>
                <w:bCs/>
                <w:color w:val="000000"/>
                <w:sz w:val="18"/>
                <w:szCs w:val="18"/>
                <w:lang w:val="en-US"/>
              </w:rPr>
              <w:t>_main</w:t>
            </w:r>
          </w:p>
        </w:tc>
        <w:tc>
          <w:tcPr>
            <w:tcW w:w="1156" w:type="pct"/>
            <w:tcBorders>
              <w:top w:val="nil"/>
              <w:left w:val="nil"/>
              <w:bottom w:val="single" w:sz="12" w:space="0" w:color="auto"/>
              <w:right w:val="nil"/>
            </w:tcBorders>
            <w:noWrap/>
            <w:vAlign w:val="center"/>
            <w:hideMark/>
          </w:tcPr>
          <w:p w14:paraId="0E16B0A5" w14:textId="4183615D" w:rsidR="00AC019B" w:rsidRPr="001127A1" w:rsidRDefault="00AC019B" w:rsidP="00FC37A0">
            <w:pPr>
              <w:spacing w:after="0"/>
              <w:jc w:val="center"/>
              <w:rPr>
                <w:rFonts w:asciiTheme="minorHAnsi" w:eastAsia="Times New Roman" w:hAnsiTheme="minorHAnsi" w:cstheme="minorHAnsi"/>
                <w:b/>
                <w:bCs/>
                <w:color w:val="000000"/>
                <w:sz w:val="18"/>
                <w:szCs w:val="18"/>
                <w:lang w:val="en-US"/>
              </w:rPr>
            </w:pPr>
            <w:r w:rsidRPr="001127A1">
              <w:rPr>
                <w:rFonts w:asciiTheme="minorHAnsi" w:eastAsia="Times New Roman" w:hAnsiTheme="minorHAnsi" w:cstheme="minorHAnsi"/>
                <w:b/>
                <w:bCs/>
                <w:color w:val="000000"/>
                <w:sz w:val="18"/>
                <w:szCs w:val="18"/>
                <w:lang w:val="en-US"/>
              </w:rPr>
              <w:t>abs_log</w:t>
            </w:r>
            <w:r w:rsidRPr="001127A1">
              <w:rPr>
                <w:rFonts w:asciiTheme="minorHAnsi" w:eastAsia="Times New Roman" w:hAnsiTheme="minorHAnsi" w:cstheme="minorHAnsi"/>
                <w:b/>
                <w:bCs/>
                <w:color w:val="000000"/>
                <w:sz w:val="18"/>
                <w:szCs w:val="18"/>
                <w:vertAlign w:val="subscript"/>
                <w:lang w:val="en-US"/>
              </w:rPr>
              <w:t>2</w:t>
            </w:r>
            <w:r w:rsidRPr="001127A1">
              <w:rPr>
                <w:rFonts w:asciiTheme="minorHAnsi" w:eastAsia="Times New Roman" w:hAnsiTheme="minorHAnsi" w:cstheme="minorHAnsi"/>
                <w:b/>
                <w:bCs/>
                <w:color w:val="000000"/>
                <w:sz w:val="18"/>
                <w:szCs w:val="18"/>
                <w:lang w:val="en-US"/>
              </w:rPr>
              <w:t>FC_</w:t>
            </w:r>
            <w:r w:rsidR="00E20183" w:rsidRPr="001127A1">
              <w:rPr>
                <w:rFonts w:asciiTheme="minorHAnsi" w:eastAsia="Times New Roman" w:hAnsiTheme="minorHAnsi" w:cstheme="minorHAnsi"/>
                <w:b/>
                <w:bCs/>
                <w:color w:val="000000"/>
                <w:sz w:val="18"/>
                <w:szCs w:val="18"/>
                <w:lang w:val="en-US"/>
              </w:rPr>
              <w:t>FDR</w:t>
            </w:r>
            <w:r w:rsidRPr="001127A1">
              <w:rPr>
                <w:rFonts w:asciiTheme="minorHAnsi" w:eastAsia="Times New Roman" w:hAnsiTheme="minorHAnsi" w:cstheme="minorHAnsi"/>
                <w:b/>
                <w:bCs/>
                <w:color w:val="000000"/>
                <w:sz w:val="18"/>
                <w:szCs w:val="18"/>
                <w:lang w:val="en-US"/>
              </w:rPr>
              <w:t>_sens</w:t>
            </w:r>
          </w:p>
        </w:tc>
      </w:tr>
      <w:tr w:rsidR="00AC019B" w:rsidRPr="001127A1" w14:paraId="43802D57" w14:textId="77777777" w:rsidTr="00E20183">
        <w:trPr>
          <w:trHeight w:val="113"/>
        </w:trPr>
        <w:tc>
          <w:tcPr>
            <w:tcW w:w="489" w:type="pct"/>
            <w:tcBorders>
              <w:top w:val="single" w:sz="12" w:space="0" w:color="auto"/>
              <w:left w:val="nil"/>
              <w:bottom w:val="nil"/>
              <w:right w:val="nil"/>
            </w:tcBorders>
            <w:noWrap/>
            <w:vAlign w:val="center"/>
            <w:hideMark/>
          </w:tcPr>
          <w:p w14:paraId="2F977F91" w14:textId="77777777" w:rsidR="00AC019B" w:rsidRPr="001127A1" w:rsidRDefault="00AC019B" w:rsidP="00FC37A0">
            <w:pPr>
              <w:spacing w:before="120"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238</w:t>
            </w:r>
          </w:p>
        </w:tc>
        <w:tc>
          <w:tcPr>
            <w:tcW w:w="613" w:type="pct"/>
            <w:tcBorders>
              <w:top w:val="single" w:sz="12" w:space="0" w:color="auto"/>
              <w:left w:val="nil"/>
              <w:bottom w:val="nil"/>
              <w:right w:val="nil"/>
            </w:tcBorders>
            <w:noWrap/>
            <w:vAlign w:val="center"/>
            <w:hideMark/>
          </w:tcPr>
          <w:p w14:paraId="6205B437" w14:textId="77777777" w:rsidR="00AC019B" w:rsidRPr="001127A1" w:rsidRDefault="00AC019B" w:rsidP="00FC37A0">
            <w:pPr>
              <w:spacing w:before="120"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-0.94</w:t>
            </w:r>
          </w:p>
        </w:tc>
        <w:tc>
          <w:tcPr>
            <w:tcW w:w="489" w:type="pct"/>
            <w:tcBorders>
              <w:top w:val="single" w:sz="12" w:space="0" w:color="auto"/>
              <w:left w:val="nil"/>
              <w:bottom w:val="nil"/>
              <w:right w:val="nil"/>
            </w:tcBorders>
            <w:noWrap/>
            <w:vAlign w:val="center"/>
            <w:hideMark/>
          </w:tcPr>
          <w:p w14:paraId="0FDF9A52" w14:textId="77777777" w:rsidR="00AC019B" w:rsidRPr="001127A1" w:rsidRDefault="00AC019B" w:rsidP="00FC37A0">
            <w:pPr>
              <w:spacing w:before="120"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8.9E-03</w:t>
            </w:r>
          </w:p>
        </w:tc>
        <w:tc>
          <w:tcPr>
            <w:tcW w:w="602" w:type="pct"/>
            <w:tcBorders>
              <w:top w:val="single" w:sz="12" w:space="0" w:color="auto"/>
              <w:left w:val="nil"/>
              <w:bottom w:val="nil"/>
              <w:right w:val="nil"/>
            </w:tcBorders>
            <w:noWrap/>
            <w:vAlign w:val="center"/>
            <w:hideMark/>
          </w:tcPr>
          <w:p w14:paraId="102FE454" w14:textId="77777777" w:rsidR="00AC019B" w:rsidRPr="001127A1" w:rsidRDefault="00AC019B" w:rsidP="00FC37A0">
            <w:pPr>
              <w:spacing w:before="120"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-1.24</w:t>
            </w:r>
          </w:p>
        </w:tc>
        <w:tc>
          <w:tcPr>
            <w:tcW w:w="489" w:type="pct"/>
            <w:tcBorders>
              <w:top w:val="single" w:sz="12" w:space="0" w:color="auto"/>
              <w:left w:val="nil"/>
              <w:bottom w:val="nil"/>
              <w:right w:val="nil"/>
            </w:tcBorders>
            <w:noWrap/>
            <w:vAlign w:val="center"/>
            <w:hideMark/>
          </w:tcPr>
          <w:p w14:paraId="18572842" w14:textId="77777777" w:rsidR="00AC019B" w:rsidRPr="001127A1" w:rsidRDefault="00AC019B" w:rsidP="00FC37A0">
            <w:pPr>
              <w:spacing w:before="120"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1.2E-04</w:t>
            </w:r>
          </w:p>
        </w:tc>
        <w:tc>
          <w:tcPr>
            <w:tcW w:w="1162" w:type="pct"/>
            <w:tcBorders>
              <w:top w:val="single" w:sz="12" w:space="0" w:color="auto"/>
              <w:left w:val="nil"/>
              <w:bottom w:val="nil"/>
              <w:right w:val="nil"/>
            </w:tcBorders>
            <w:noWrap/>
            <w:vAlign w:val="center"/>
            <w:hideMark/>
          </w:tcPr>
          <w:p w14:paraId="62B0393A" w14:textId="77777777" w:rsidR="00AC019B" w:rsidRPr="001127A1" w:rsidRDefault="00AC019B" w:rsidP="00FC37A0">
            <w:pPr>
              <w:spacing w:before="120"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c>
          <w:tcPr>
            <w:tcW w:w="1156" w:type="pct"/>
            <w:tcBorders>
              <w:top w:val="single" w:sz="12" w:space="0" w:color="auto"/>
              <w:left w:val="nil"/>
              <w:bottom w:val="nil"/>
              <w:right w:val="nil"/>
            </w:tcBorders>
            <w:noWrap/>
            <w:vAlign w:val="center"/>
            <w:hideMark/>
          </w:tcPr>
          <w:p w14:paraId="1D904A54" w14:textId="77777777" w:rsidR="00AC019B" w:rsidRPr="001127A1" w:rsidRDefault="00AC019B" w:rsidP="00FC37A0">
            <w:pPr>
              <w:spacing w:before="120"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57DF7623" w14:textId="77777777" w:rsidTr="00AC019B">
        <w:trPr>
          <w:trHeight w:val="20"/>
        </w:trPr>
        <w:tc>
          <w:tcPr>
            <w:tcW w:w="489" w:type="pct"/>
            <w:tcBorders>
              <w:top w:val="nil"/>
              <w:left w:val="nil"/>
              <w:bottom w:val="nil"/>
              <w:right w:val="nil"/>
            </w:tcBorders>
            <w:noWrap/>
            <w:vAlign w:val="center"/>
            <w:hideMark/>
          </w:tcPr>
          <w:p w14:paraId="27583E9F"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498</w:t>
            </w:r>
          </w:p>
        </w:tc>
        <w:tc>
          <w:tcPr>
            <w:tcW w:w="613" w:type="pct"/>
            <w:tcBorders>
              <w:top w:val="nil"/>
              <w:left w:val="nil"/>
              <w:bottom w:val="nil"/>
              <w:right w:val="nil"/>
            </w:tcBorders>
            <w:noWrap/>
            <w:vAlign w:val="center"/>
            <w:hideMark/>
          </w:tcPr>
          <w:p w14:paraId="7F670F5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-1.43</w:t>
            </w:r>
          </w:p>
        </w:tc>
        <w:tc>
          <w:tcPr>
            <w:tcW w:w="489" w:type="pct"/>
            <w:tcBorders>
              <w:top w:val="nil"/>
              <w:left w:val="nil"/>
              <w:bottom w:val="nil"/>
              <w:right w:val="nil"/>
            </w:tcBorders>
            <w:noWrap/>
            <w:vAlign w:val="center"/>
            <w:hideMark/>
          </w:tcPr>
          <w:p w14:paraId="2FC42B3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2.4E-04</w:t>
            </w:r>
          </w:p>
        </w:tc>
        <w:tc>
          <w:tcPr>
            <w:tcW w:w="602" w:type="pct"/>
            <w:tcBorders>
              <w:top w:val="nil"/>
              <w:left w:val="nil"/>
              <w:bottom w:val="nil"/>
              <w:right w:val="nil"/>
            </w:tcBorders>
            <w:noWrap/>
            <w:vAlign w:val="center"/>
            <w:hideMark/>
          </w:tcPr>
          <w:p w14:paraId="13BA8FDC"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-1.78</w:t>
            </w:r>
          </w:p>
        </w:tc>
        <w:tc>
          <w:tcPr>
            <w:tcW w:w="489" w:type="pct"/>
            <w:tcBorders>
              <w:top w:val="nil"/>
              <w:left w:val="nil"/>
              <w:bottom w:val="nil"/>
              <w:right w:val="nil"/>
            </w:tcBorders>
            <w:noWrap/>
            <w:vAlign w:val="center"/>
            <w:hideMark/>
          </w:tcPr>
          <w:p w14:paraId="772DAB3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2.8E-07</w:t>
            </w:r>
          </w:p>
        </w:tc>
        <w:tc>
          <w:tcPr>
            <w:tcW w:w="1162" w:type="pct"/>
            <w:tcBorders>
              <w:top w:val="nil"/>
              <w:left w:val="nil"/>
              <w:bottom w:val="nil"/>
              <w:right w:val="nil"/>
            </w:tcBorders>
            <w:noWrap/>
            <w:vAlign w:val="center"/>
            <w:hideMark/>
          </w:tcPr>
          <w:p w14:paraId="2E0E0A9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6BB9F45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34B5C7D2" w14:textId="77777777" w:rsidTr="00AC019B">
        <w:trPr>
          <w:trHeight w:val="20"/>
        </w:trPr>
        <w:tc>
          <w:tcPr>
            <w:tcW w:w="489" w:type="pct"/>
            <w:tcBorders>
              <w:top w:val="nil"/>
              <w:left w:val="nil"/>
              <w:bottom w:val="nil"/>
              <w:right w:val="nil"/>
            </w:tcBorders>
            <w:noWrap/>
            <w:vAlign w:val="center"/>
            <w:hideMark/>
          </w:tcPr>
          <w:p w14:paraId="32C3EFF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527</w:t>
            </w:r>
          </w:p>
        </w:tc>
        <w:tc>
          <w:tcPr>
            <w:tcW w:w="613" w:type="pct"/>
            <w:tcBorders>
              <w:top w:val="nil"/>
              <w:left w:val="nil"/>
              <w:bottom w:val="nil"/>
              <w:right w:val="nil"/>
            </w:tcBorders>
            <w:noWrap/>
            <w:vAlign w:val="center"/>
            <w:hideMark/>
          </w:tcPr>
          <w:p w14:paraId="21D982A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2.53</w:t>
            </w:r>
          </w:p>
        </w:tc>
        <w:tc>
          <w:tcPr>
            <w:tcW w:w="489" w:type="pct"/>
            <w:tcBorders>
              <w:top w:val="nil"/>
              <w:left w:val="nil"/>
              <w:bottom w:val="nil"/>
              <w:right w:val="nil"/>
            </w:tcBorders>
            <w:noWrap/>
            <w:vAlign w:val="center"/>
            <w:hideMark/>
          </w:tcPr>
          <w:p w14:paraId="307591F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7.1E-04</w:t>
            </w:r>
          </w:p>
        </w:tc>
        <w:tc>
          <w:tcPr>
            <w:tcW w:w="602" w:type="pct"/>
            <w:tcBorders>
              <w:top w:val="nil"/>
              <w:left w:val="nil"/>
              <w:bottom w:val="nil"/>
              <w:right w:val="nil"/>
            </w:tcBorders>
            <w:noWrap/>
            <w:vAlign w:val="center"/>
            <w:hideMark/>
          </w:tcPr>
          <w:p w14:paraId="296E6A88"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2.05</w:t>
            </w:r>
          </w:p>
        </w:tc>
        <w:tc>
          <w:tcPr>
            <w:tcW w:w="489" w:type="pct"/>
            <w:tcBorders>
              <w:top w:val="nil"/>
              <w:left w:val="nil"/>
              <w:bottom w:val="nil"/>
              <w:right w:val="nil"/>
            </w:tcBorders>
            <w:noWrap/>
            <w:vAlign w:val="center"/>
            <w:hideMark/>
          </w:tcPr>
          <w:p w14:paraId="0BF9B229"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3.0E-02</w:t>
            </w:r>
          </w:p>
        </w:tc>
        <w:tc>
          <w:tcPr>
            <w:tcW w:w="1162" w:type="pct"/>
            <w:tcBorders>
              <w:top w:val="nil"/>
              <w:left w:val="nil"/>
              <w:bottom w:val="nil"/>
              <w:right w:val="nil"/>
            </w:tcBorders>
            <w:noWrap/>
            <w:vAlign w:val="center"/>
            <w:hideMark/>
          </w:tcPr>
          <w:p w14:paraId="05347EB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49ED6E8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r>
      <w:tr w:rsidR="00AC019B" w:rsidRPr="001127A1" w14:paraId="2780E781" w14:textId="77777777" w:rsidTr="00AC019B">
        <w:trPr>
          <w:trHeight w:val="20"/>
        </w:trPr>
        <w:tc>
          <w:tcPr>
            <w:tcW w:w="489" w:type="pct"/>
            <w:tcBorders>
              <w:top w:val="nil"/>
              <w:left w:val="nil"/>
              <w:bottom w:val="nil"/>
              <w:right w:val="nil"/>
            </w:tcBorders>
            <w:noWrap/>
            <w:vAlign w:val="center"/>
            <w:hideMark/>
          </w:tcPr>
          <w:p w14:paraId="3CBFA58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553</w:t>
            </w:r>
          </w:p>
        </w:tc>
        <w:tc>
          <w:tcPr>
            <w:tcW w:w="613" w:type="pct"/>
            <w:tcBorders>
              <w:top w:val="nil"/>
              <w:left w:val="nil"/>
              <w:bottom w:val="nil"/>
              <w:right w:val="nil"/>
            </w:tcBorders>
            <w:noWrap/>
            <w:vAlign w:val="center"/>
            <w:hideMark/>
          </w:tcPr>
          <w:p w14:paraId="1F3DBE2E"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-0.93</w:t>
            </w:r>
          </w:p>
        </w:tc>
        <w:tc>
          <w:tcPr>
            <w:tcW w:w="489" w:type="pct"/>
            <w:tcBorders>
              <w:top w:val="nil"/>
              <w:left w:val="nil"/>
              <w:bottom w:val="nil"/>
              <w:right w:val="nil"/>
            </w:tcBorders>
            <w:noWrap/>
            <w:vAlign w:val="center"/>
            <w:hideMark/>
          </w:tcPr>
          <w:p w14:paraId="1EB59C8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1.1E-02</w:t>
            </w:r>
          </w:p>
        </w:tc>
        <w:tc>
          <w:tcPr>
            <w:tcW w:w="602" w:type="pct"/>
            <w:tcBorders>
              <w:top w:val="nil"/>
              <w:left w:val="nil"/>
              <w:bottom w:val="nil"/>
              <w:right w:val="nil"/>
            </w:tcBorders>
            <w:noWrap/>
            <w:vAlign w:val="center"/>
            <w:hideMark/>
          </w:tcPr>
          <w:p w14:paraId="38432BF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-1.20</w:t>
            </w:r>
          </w:p>
        </w:tc>
        <w:tc>
          <w:tcPr>
            <w:tcW w:w="489" w:type="pct"/>
            <w:tcBorders>
              <w:top w:val="nil"/>
              <w:left w:val="nil"/>
              <w:bottom w:val="nil"/>
              <w:right w:val="nil"/>
            </w:tcBorders>
            <w:noWrap/>
            <w:vAlign w:val="center"/>
            <w:hideMark/>
          </w:tcPr>
          <w:p w14:paraId="03FA16F9"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3.7E-04</w:t>
            </w:r>
          </w:p>
        </w:tc>
        <w:tc>
          <w:tcPr>
            <w:tcW w:w="1162" w:type="pct"/>
            <w:tcBorders>
              <w:top w:val="nil"/>
              <w:left w:val="nil"/>
              <w:bottom w:val="nil"/>
              <w:right w:val="nil"/>
            </w:tcBorders>
            <w:noWrap/>
            <w:vAlign w:val="center"/>
            <w:hideMark/>
          </w:tcPr>
          <w:p w14:paraId="2C4FEE1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c>
          <w:tcPr>
            <w:tcW w:w="1156" w:type="pct"/>
            <w:tcBorders>
              <w:top w:val="nil"/>
              <w:left w:val="nil"/>
              <w:bottom w:val="nil"/>
              <w:right w:val="nil"/>
            </w:tcBorders>
            <w:noWrap/>
            <w:vAlign w:val="center"/>
            <w:hideMark/>
          </w:tcPr>
          <w:p w14:paraId="116D41C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660AD03C" w14:textId="77777777" w:rsidTr="00AC019B">
        <w:trPr>
          <w:trHeight w:val="20"/>
        </w:trPr>
        <w:tc>
          <w:tcPr>
            <w:tcW w:w="489" w:type="pct"/>
            <w:tcBorders>
              <w:top w:val="nil"/>
              <w:left w:val="nil"/>
              <w:bottom w:val="nil"/>
              <w:right w:val="nil"/>
            </w:tcBorders>
            <w:noWrap/>
            <w:vAlign w:val="center"/>
            <w:hideMark/>
          </w:tcPr>
          <w:p w14:paraId="173DF78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561</w:t>
            </w:r>
          </w:p>
        </w:tc>
        <w:tc>
          <w:tcPr>
            <w:tcW w:w="613" w:type="pct"/>
            <w:tcBorders>
              <w:top w:val="nil"/>
              <w:left w:val="nil"/>
              <w:bottom w:val="nil"/>
              <w:right w:val="nil"/>
            </w:tcBorders>
            <w:noWrap/>
            <w:vAlign w:val="center"/>
            <w:hideMark/>
          </w:tcPr>
          <w:p w14:paraId="3F4E1B09"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1.51</w:t>
            </w:r>
          </w:p>
        </w:tc>
        <w:tc>
          <w:tcPr>
            <w:tcW w:w="489" w:type="pct"/>
            <w:tcBorders>
              <w:top w:val="nil"/>
              <w:left w:val="nil"/>
              <w:bottom w:val="nil"/>
              <w:right w:val="nil"/>
            </w:tcBorders>
            <w:noWrap/>
            <w:vAlign w:val="center"/>
            <w:hideMark/>
          </w:tcPr>
          <w:p w14:paraId="32700110"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7.8E-05</w:t>
            </w:r>
          </w:p>
        </w:tc>
        <w:tc>
          <w:tcPr>
            <w:tcW w:w="602" w:type="pct"/>
            <w:tcBorders>
              <w:top w:val="nil"/>
              <w:left w:val="nil"/>
              <w:bottom w:val="nil"/>
              <w:right w:val="nil"/>
            </w:tcBorders>
            <w:noWrap/>
            <w:vAlign w:val="center"/>
            <w:hideMark/>
          </w:tcPr>
          <w:p w14:paraId="0DE57FA8"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1.70</w:t>
            </w:r>
          </w:p>
        </w:tc>
        <w:tc>
          <w:tcPr>
            <w:tcW w:w="489" w:type="pct"/>
            <w:tcBorders>
              <w:top w:val="nil"/>
              <w:left w:val="nil"/>
              <w:bottom w:val="nil"/>
              <w:right w:val="nil"/>
            </w:tcBorders>
            <w:noWrap/>
            <w:vAlign w:val="center"/>
            <w:hideMark/>
          </w:tcPr>
          <w:p w14:paraId="385F166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1.1E-07</w:t>
            </w:r>
          </w:p>
        </w:tc>
        <w:tc>
          <w:tcPr>
            <w:tcW w:w="1162" w:type="pct"/>
            <w:tcBorders>
              <w:top w:val="nil"/>
              <w:left w:val="nil"/>
              <w:bottom w:val="nil"/>
              <w:right w:val="nil"/>
            </w:tcBorders>
            <w:noWrap/>
            <w:vAlign w:val="center"/>
            <w:hideMark/>
          </w:tcPr>
          <w:p w14:paraId="32EAC34F"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73538463"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72AD0EA9" w14:textId="77777777" w:rsidTr="00AC019B">
        <w:trPr>
          <w:trHeight w:val="20"/>
        </w:trPr>
        <w:tc>
          <w:tcPr>
            <w:tcW w:w="489" w:type="pct"/>
            <w:tcBorders>
              <w:top w:val="nil"/>
              <w:left w:val="nil"/>
              <w:bottom w:val="nil"/>
              <w:right w:val="nil"/>
            </w:tcBorders>
            <w:noWrap/>
            <w:vAlign w:val="center"/>
            <w:hideMark/>
          </w:tcPr>
          <w:p w14:paraId="47E37AD1"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658</w:t>
            </w:r>
          </w:p>
        </w:tc>
        <w:tc>
          <w:tcPr>
            <w:tcW w:w="613" w:type="pct"/>
            <w:tcBorders>
              <w:top w:val="nil"/>
              <w:left w:val="nil"/>
              <w:bottom w:val="nil"/>
              <w:right w:val="nil"/>
            </w:tcBorders>
            <w:noWrap/>
            <w:vAlign w:val="center"/>
            <w:hideMark/>
          </w:tcPr>
          <w:p w14:paraId="7CEB88C7"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1.17</w:t>
            </w:r>
          </w:p>
        </w:tc>
        <w:tc>
          <w:tcPr>
            <w:tcW w:w="489" w:type="pct"/>
            <w:tcBorders>
              <w:top w:val="nil"/>
              <w:left w:val="nil"/>
              <w:bottom w:val="nil"/>
              <w:right w:val="nil"/>
            </w:tcBorders>
            <w:noWrap/>
            <w:vAlign w:val="center"/>
            <w:hideMark/>
          </w:tcPr>
          <w:p w14:paraId="72EB26DC"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1.7E-05</w:t>
            </w:r>
          </w:p>
        </w:tc>
        <w:tc>
          <w:tcPr>
            <w:tcW w:w="602" w:type="pct"/>
            <w:tcBorders>
              <w:top w:val="nil"/>
              <w:left w:val="nil"/>
              <w:bottom w:val="nil"/>
              <w:right w:val="nil"/>
            </w:tcBorders>
            <w:noWrap/>
            <w:vAlign w:val="center"/>
            <w:hideMark/>
          </w:tcPr>
          <w:p w14:paraId="423ECDC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1.16</w:t>
            </w:r>
          </w:p>
        </w:tc>
        <w:tc>
          <w:tcPr>
            <w:tcW w:w="489" w:type="pct"/>
            <w:tcBorders>
              <w:top w:val="nil"/>
              <w:left w:val="nil"/>
              <w:bottom w:val="nil"/>
              <w:right w:val="nil"/>
            </w:tcBorders>
            <w:noWrap/>
            <w:vAlign w:val="center"/>
            <w:hideMark/>
          </w:tcPr>
          <w:p w14:paraId="7E68BE2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6.2E-05</w:t>
            </w:r>
          </w:p>
        </w:tc>
        <w:tc>
          <w:tcPr>
            <w:tcW w:w="1162" w:type="pct"/>
            <w:tcBorders>
              <w:top w:val="nil"/>
              <w:left w:val="nil"/>
              <w:bottom w:val="nil"/>
              <w:right w:val="nil"/>
            </w:tcBorders>
            <w:noWrap/>
            <w:vAlign w:val="center"/>
            <w:hideMark/>
          </w:tcPr>
          <w:p w14:paraId="1354CCB8"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373E78C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3409A87A" w14:textId="77777777" w:rsidTr="00AC019B">
        <w:trPr>
          <w:trHeight w:val="20"/>
        </w:trPr>
        <w:tc>
          <w:tcPr>
            <w:tcW w:w="489" w:type="pct"/>
            <w:tcBorders>
              <w:top w:val="nil"/>
              <w:left w:val="nil"/>
              <w:bottom w:val="nil"/>
              <w:right w:val="nil"/>
            </w:tcBorders>
            <w:noWrap/>
            <w:vAlign w:val="center"/>
            <w:hideMark/>
          </w:tcPr>
          <w:p w14:paraId="7418607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1378</w:t>
            </w:r>
          </w:p>
        </w:tc>
        <w:tc>
          <w:tcPr>
            <w:tcW w:w="613" w:type="pct"/>
            <w:tcBorders>
              <w:top w:val="nil"/>
              <w:left w:val="nil"/>
              <w:bottom w:val="nil"/>
              <w:right w:val="nil"/>
            </w:tcBorders>
            <w:noWrap/>
            <w:vAlign w:val="center"/>
            <w:hideMark/>
          </w:tcPr>
          <w:p w14:paraId="6639341B"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-0.64</w:t>
            </w:r>
          </w:p>
        </w:tc>
        <w:tc>
          <w:tcPr>
            <w:tcW w:w="489" w:type="pct"/>
            <w:tcBorders>
              <w:top w:val="nil"/>
              <w:left w:val="nil"/>
              <w:bottom w:val="nil"/>
              <w:right w:val="nil"/>
            </w:tcBorders>
            <w:noWrap/>
            <w:vAlign w:val="center"/>
            <w:hideMark/>
          </w:tcPr>
          <w:p w14:paraId="3B90D44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1.6E-04</w:t>
            </w:r>
          </w:p>
        </w:tc>
        <w:tc>
          <w:tcPr>
            <w:tcW w:w="602" w:type="pct"/>
            <w:tcBorders>
              <w:top w:val="nil"/>
              <w:left w:val="nil"/>
              <w:bottom w:val="nil"/>
              <w:right w:val="nil"/>
            </w:tcBorders>
            <w:noWrap/>
            <w:vAlign w:val="center"/>
            <w:hideMark/>
          </w:tcPr>
          <w:p w14:paraId="3E2CE49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-0.63</w:t>
            </w:r>
          </w:p>
        </w:tc>
        <w:tc>
          <w:tcPr>
            <w:tcW w:w="489" w:type="pct"/>
            <w:tcBorders>
              <w:top w:val="nil"/>
              <w:left w:val="nil"/>
              <w:bottom w:val="nil"/>
              <w:right w:val="nil"/>
            </w:tcBorders>
            <w:noWrap/>
            <w:vAlign w:val="center"/>
            <w:hideMark/>
          </w:tcPr>
          <w:p w14:paraId="5B4B2AAF"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1.2E-03</w:t>
            </w:r>
          </w:p>
        </w:tc>
        <w:tc>
          <w:tcPr>
            <w:tcW w:w="1162" w:type="pct"/>
            <w:tcBorders>
              <w:top w:val="nil"/>
              <w:left w:val="nil"/>
              <w:bottom w:val="nil"/>
              <w:right w:val="nil"/>
            </w:tcBorders>
            <w:noWrap/>
            <w:vAlign w:val="center"/>
            <w:hideMark/>
          </w:tcPr>
          <w:p w14:paraId="6DB158A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47A22F9E"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r>
      <w:tr w:rsidR="00AC019B" w:rsidRPr="001127A1" w14:paraId="25388595" w14:textId="77777777" w:rsidTr="00AC019B">
        <w:trPr>
          <w:trHeight w:val="20"/>
        </w:trPr>
        <w:tc>
          <w:tcPr>
            <w:tcW w:w="489" w:type="pct"/>
            <w:tcBorders>
              <w:top w:val="nil"/>
              <w:left w:val="nil"/>
              <w:bottom w:val="nil"/>
              <w:right w:val="nil"/>
            </w:tcBorders>
            <w:noWrap/>
            <w:vAlign w:val="center"/>
            <w:hideMark/>
          </w:tcPr>
          <w:p w14:paraId="71910F4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1475</w:t>
            </w:r>
          </w:p>
        </w:tc>
        <w:tc>
          <w:tcPr>
            <w:tcW w:w="613" w:type="pct"/>
            <w:tcBorders>
              <w:top w:val="nil"/>
              <w:left w:val="nil"/>
              <w:bottom w:val="nil"/>
              <w:right w:val="nil"/>
            </w:tcBorders>
            <w:noWrap/>
            <w:vAlign w:val="center"/>
            <w:hideMark/>
          </w:tcPr>
          <w:p w14:paraId="650346FE"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1.10</w:t>
            </w:r>
          </w:p>
        </w:tc>
        <w:tc>
          <w:tcPr>
            <w:tcW w:w="489" w:type="pct"/>
            <w:tcBorders>
              <w:top w:val="nil"/>
              <w:left w:val="nil"/>
              <w:bottom w:val="nil"/>
              <w:right w:val="nil"/>
            </w:tcBorders>
            <w:noWrap/>
            <w:vAlign w:val="center"/>
            <w:hideMark/>
          </w:tcPr>
          <w:p w14:paraId="49C76D6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2.5E-04</w:t>
            </w:r>
          </w:p>
        </w:tc>
        <w:tc>
          <w:tcPr>
            <w:tcW w:w="602" w:type="pct"/>
            <w:tcBorders>
              <w:top w:val="nil"/>
              <w:left w:val="nil"/>
              <w:bottom w:val="nil"/>
              <w:right w:val="nil"/>
            </w:tcBorders>
            <w:noWrap/>
            <w:vAlign w:val="center"/>
            <w:hideMark/>
          </w:tcPr>
          <w:p w14:paraId="02BC7D7C"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0.96</w:t>
            </w:r>
          </w:p>
        </w:tc>
        <w:tc>
          <w:tcPr>
            <w:tcW w:w="489" w:type="pct"/>
            <w:tcBorders>
              <w:top w:val="nil"/>
              <w:left w:val="nil"/>
              <w:bottom w:val="nil"/>
              <w:right w:val="nil"/>
            </w:tcBorders>
            <w:noWrap/>
            <w:vAlign w:val="center"/>
            <w:hideMark/>
          </w:tcPr>
          <w:p w14:paraId="14269D98"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6.6E-04</w:t>
            </w:r>
          </w:p>
        </w:tc>
        <w:tc>
          <w:tcPr>
            <w:tcW w:w="1162" w:type="pct"/>
            <w:tcBorders>
              <w:top w:val="nil"/>
              <w:left w:val="nil"/>
              <w:bottom w:val="nil"/>
              <w:right w:val="nil"/>
            </w:tcBorders>
            <w:noWrap/>
            <w:vAlign w:val="center"/>
            <w:hideMark/>
          </w:tcPr>
          <w:p w14:paraId="287895C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3515ED2C"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32B32526" w14:textId="77777777" w:rsidTr="00AC019B">
        <w:trPr>
          <w:trHeight w:val="20"/>
        </w:trPr>
        <w:tc>
          <w:tcPr>
            <w:tcW w:w="489" w:type="pct"/>
            <w:tcBorders>
              <w:top w:val="nil"/>
              <w:left w:val="nil"/>
              <w:bottom w:val="nil"/>
              <w:right w:val="nil"/>
            </w:tcBorders>
            <w:noWrap/>
            <w:vAlign w:val="center"/>
            <w:hideMark/>
          </w:tcPr>
          <w:p w14:paraId="04695B6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1574</w:t>
            </w:r>
          </w:p>
        </w:tc>
        <w:tc>
          <w:tcPr>
            <w:tcW w:w="613" w:type="pct"/>
            <w:tcBorders>
              <w:top w:val="nil"/>
              <w:left w:val="nil"/>
              <w:bottom w:val="nil"/>
              <w:right w:val="nil"/>
            </w:tcBorders>
            <w:noWrap/>
            <w:vAlign w:val="center"/>
            <w:hideMark/>
          </w:tcPr>
          <w:p w14:paraId="58E35F3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0.92</w:t>
            </w:r>
          </w:p>
        </w:tc>
        <w:tc>
          <w:tcPr>
            <w:tcW w:w="489" w:type="pct"/>
            <w:tcBorders>
              <w:top w:val="nil"/>
              <w:left w:val="nil"/>
              <w:bottom w:val="nil"/>
              <w:right w:val="nil"/>
            </w:tcBorders>
            <w:noWrap/>
            <w:vAlign w:val="center"/>
            <w:hideMark/>
          </w:tcPr>
          <w:p w14:paraId="25C7DB88"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5.1E-05</w:t>
            </w:r>
          </w:p>
        </w:tc>
        <w:tc>
          <w:tcPr>
            <w:tcW w:w="602" w:type="pct"/>
            <w:tcBorders>
              <w:top w:val="nil"/>
              <w:left w:val="nil"/>
              <w:bottom w:val="nil"/>
              <w:right w:val="nil"/>
            </w:tcBorders>
            <w:noWrap/>
            <w:vAlign w:val="center"/>
            <w:hideMark/>
          </w:tcPr>
          <w:p w14:paraId="7F3DA620"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0.78</w:t>
            </w:r>
          </w:p>
        </w:tc>
        <w:tc>
          <w:tcPr>
            <w:tcW w:w="489" w:type="pct"/>
            <w:tcBorders>
              <w:top w:val="nil"/>
              <w:left w:val="nil"/>
              <w:bottom w:val="nil"/>
              <w:right w:val="nil"/>
            </w:tcBorders>
            <w:noWrap/>
            <w:vAlign w:val="center"/>
            <w:hideMark/>
          </w:tcPr>
          <w:p w14:paraId="7B1B22E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7.0E-03</w:t>
            </w:r>
          </w:p>
        </w:tc>
        <w:tc>
          <w:tcPr>
            <w:tcW w:w="1162" w:type="pct"/>
            <w:tcBorders>
              <w:top w:val="nil"/>
              <w:left w:val="nil"/>
              <w:bottom w:val="nil"/>
              <w:right w:val="nil"/>
            </w:tcBorders>
            <w:noWrap/>
            <w:vAlign w:val="center"/>
            <w:hideMark/>
          </w:tcPr>
          <w:p w14:paraId="5B167C0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08A1652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r>
      <w:tr w:rsidR="00AC019B" w:rsidRPr="001127A1" w14:paraId="7FF6F0BE" w14:textId="77777777" w:rsidTr="00AC019B">
        <w:trPr>
          <w:trHeight w:val="20"/>
        </w:trPr>
        <w:tc>
          <w:tcPr>
            <w:tcW w:w="489" w:type="pct"/>
            <w:tcBorders>
              <w:top w:val="nil"/>
              <w:left w:val="nil"/>
              <w:bottom w:val="nil"/>
              <w:right w:val="nil"/>
            </w:tcBorders>
            <w:noWrap/>
            <w:vAlign w:val="center"/>
            <w:hideMark/>
          </w:tcPr>
          <w:p w14:paraId="1DA4E651"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1683</w:t>
            </w:r>
          </w:p>
        </w:tc>
        <w:tc>
          <w:tcPr>
            <w:tcW w:w="613" w:type="pct"/>
            <w:tcBorders>
              <w:top w:val="nil"/>
              <w:left w:val="nil"/>
              <w:bottom w:val="nil"/>
              <w:right w:val="nil"/>
            </w:tcBorders>
            <w:noWrap/>
            <w:vAlign w:val="center"/>
            <w:hideMark/>
          </w:tcPr>
          <w:p w14:paraId="5A247E27"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1.94</w:t>
            </w:r>
          </w:p>
        </w:tc>
        <w:tc>
          <w:tcPr>
            <w:tcW w:w="489" w:type="pct"/>
            <w:tcBorders>
              <w:top w:val="nil"/>
              <w:left w:val="nil"/>
              <w:bottom w:val="nil"/>
              <w:right w:val="nil"/>
            </w:tcBorders>
            <w:noWrap/>
            <w:vAlign w:val="center"/>
            <w:hideMark/>
          </w:tcPr>
          <w:p w14:paraId="4508780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7.3E-03</w:t>
            </w:r>
          </w:p>
        </w:tc>
        <w:tc>
          <w:tcPr>
            <w:tcW w:w="602" w:type="pct"/>
            <w:tcBorders>
              <w:top w:val="nil"/>
              <w:left w:val="nil"/>
              <w:bottom w:val="nil"/>
              <w:right w:val="nil"/>
            </w:tcBorders>
            <w:noWrap/>
            <w:vAlign w:val="center"/>
            <w:hideMark/>
          </w:tcPr>
          <w:p w14:paraId="70F0B66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2.35</w:t>
            </w:r>
          </w:p>
        </w:tc>
        <w:tc>
          <w:tcPr>
            <w:tcW w:w="489" w:type="pct"/>
            <w:tcBorders>
              <w:top w:val="nil"/>
              <w:left w:val="nil"/>
              <w:bottom w:val="nil"/>
              <w:right w:val="nil"/>
            </w:tcBorders>
            <w:noWrap/>
            <w:vAlign w:val="center"/>
            <w:hideMark/>
          </w:tcPr>
          <w:p w14:paraId="5D924071"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1.0E-03</w:t>
            </w:r>
          </w:p>
        </w:tc>
        <w:tc>
          <w:tcPr>
            <w:tcW w:w="1162" w:type="pct"/>
            <w:tcBorders>
              <w:top w:val="nil"/>
              <w:left w:val="nil"/>
              <w:bottom w:val="nil"/>
              <w:right w:val="nil"/>
            </w:tcBorders>
            <w:noWrap/>
            <w:vAlign w:val="center"/>
            <w:hideMark/>
          </w:tcPr>
          <w:p w14:paraId="4EBF23B7"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c>
          <w:tcPr>
            <w:tcW w:w="1156" w:type="pct"/>
            <w:tcBorders>
              <w:top w:val="nil"/>
              <w:left w:val="nil"/>
              <w:bottom w:val="nil"/>
              <w:right w:val="nil"/>
            </w:tcBorders>
            <w:noWrap/>
            <w:vAlign w:val="center"/>
            <w:hideMark/>
          </w:tcPr>
          <w:p w14:paraId="15C9F63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1708039A" w14:textId="77777777" w:rsidTr="00AC019B">
        <w:trPr>
          <w:trHeight w:val="20"/>
        </w:trPr>
        <w:tc>
          <w:tcPr>
            <w:tcW w:w="489" w:type="pct"/>
            <w:tcBorders>
              <w:top w:val="nil"/>
              <w:left w:val="nil"/>
              <w:bottom w:val="nil"/>
              <w:right w:val="nil"/>
            </w:tcBorders>
            <w:noWrap/>
            <w:vAlign w:val="center"/>
            <w:hideMark/>
          </w:tcPr>
          <w:p w14:paraId="3F7EB0A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1694</w:t>
            </w:r>
          </w:p>
        </w:tc>
        <w:tc>
          <w:tcPr>
            <w:tcW w:w="613" w:type="pct"/>
            <w:tcBorders>
              <w:top w:val="nil"/>
              <w:left w:val="nil"/>
              <w:bottom w:val="nil"/>
              <w:right w:val="nil"/>
            </w:tcBorders>
            <w:noWrap/>
            <w:vAlign w:val="center"/>
            <w:hideMark/>
          </w:tcPr>
          <w:p w14:paraId="7A4B7B1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0.92</w:t>
            </w:r>
          </w:p>
        </w:tc>
        <w:tc>
          <w:tcPr>
            <w:tcW w:w="489" w:type="pct"/>
            <w:tcBorders>
              <w:top w:val="nil"/>
              <w:left w:val="nil"/>
              <w:bottom w:val="nil"/>
              <w:right w:val="nil"/>
            </w:tcBorders>
            <w:noWrap/>
            <w:vAlign w:val="center"/>
            <w:hideMark/>
          </w:tcPr>
          <w:p w14:paraId="3CBDF05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5.2E-04</w:t>
            </w:r>
          </w:p>
        </w:tc>
        <w:tc>
          <w:tcPr>
            <w:tcW w:w="602" w:type="pct"/>
            <w:tcBorders>
              <w:top w:val="nil"/>
              <w:left w:val="nil"/>
              <w:bottom w:val="nil"/>
              <w:right w:val="nil"/>
            </w:tcBorders>
            <w:noWrap/>
            <w:vAlign w:val="center"/>
            <w:hideMark/>
          </w:tcPr>
          <w:p w14:paraId="5DB9B1B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0.74</w:t>
            </w:r>
          </w:p>
        </w:tc>
        <w:tc>
          <w:tcPr>
            <w:tcW w:w="489" w:type="pct"/>
            <w:tcBorders>
              <w:top w:val="nil"/>
              <w:left w:val="nil"/>
              <w:bottom w:val="nil"/>
              <w:right w:val="nil"/>
            </w:tcBorders>
            <w:noWrap/>
            <w:vAlign w:val="center"/>
            <w:hideMark/>
          </w:tcPr>
          <w:p w14:paraId="37E476B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1.3E-02</w:t>
            </w:r>
          </w:p>
        </w:tc>
        <w:tc>
          <w:tcPr>
            <w:tcW w:w="1162" w:type="pct"/>
            <w:tcBorders>
              <w:top w:val="nil"/>
              <w:left w:val="nil"/>
              <w:bottom w:val="nil"/>
              <w:right w:val="nil"/>
            </w:tcBorders>
            <w:noWrap/>
            <w:vAlign w:val="center"/>
            <w:hideMark/>
          </w:tcPr>
          <w:p w14:paraId="52AB99F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1C3E246C"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r>
      <w:tr w:rsidR="00AC019B" w:rsidRPr="001127A1" w14:paraId="446B105C" w14:textId="77777777" w:rsidTr="00AC019B">
        <w:trPr>
          <w:trHeight w:val="20"/>
        </w:trPr>
        <w:tc>
          <w:tcPr>
            <w:tcW w:w="489" w:type="pct"/>
            <w:tcBorders>
              <w:top w:val="nil"/>
              <w:left w:val="nil"/>
              <w:bottom w:val="nil"/>
              <w:right w:val="nil"/>
            </w:tcBorders>
            <w:noWrap/>
            <w:vAlign w:val="center"/>
            <w:hideMark/>
          </w:tcPr>
          <w:p w14:paraId="297EDF8C"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1824</w:t>
            </w:r>
          </w:p>
        </w:tc>
        <w:tc>
          <w:tcPr>
            <w:tcW w:w="613" w:type="pct"/>
            <w:tcBorders>
              <w:top w:val="nil"/>
              <w:left w:val="nil"/>
              <w:bottom w:val="nil"/>
              <w:right w:val="nil"/>
            </w:tcBorders>
            <w:noWrap/>
            <w:vAlign w:val="center"/>
            <w:hideMark/>
          </w:tcPr>
          <w:p w14:paraId="0352C4F8"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0.67</w:t>
            </w:r>
          </w:p>
        </w:tc>
        <w:tc>
          <w:tcPr>
            <w:tcW w:w="489" w:type="pct"/>
            <w:tcBorders>
              <w:top w:val="nil"/>
              <w:left w:val="nil"/>
              <w:bottom w:val="nil"/>
              <w:right w:val="nil"/>
            </w:tcBorders>
            <w:noWrap/>
            <w:vAlign w:val="center"/>
            <w:hideMark/>
          </w:tcPr>
          <w:p w14:paraId="195B2009"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1.1E-03</w:t>
            </w:r>
          </w:p>
        </w:tc>
        <w:tc>
          <w:tcPr>
            <w:tcW w:w="602" w:type="pct"/>
            <w:tcBorders>
              <w:top w:val="nil"/>
              <w:left w:val="nil"/>
              <w:bottom w:val="nil"/>
              <w:right w:val="nil"/>
            </w:tcBorders>
            <w:noWrap/>
            <w:vAlign w:val="center"/>
            <w:hideMark/>
          </w:tcPr>
          <w:p w14:paraId="57E8A6C1"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0.75</w:t>
            </w:r>
          </w:p>
        </w:tc>
        <w:tc>
          <w:tcPr>
            <w:tcW w:w="489" w:type="pct"/>
            <w:tcBorders>
              <w:top w:val="nil"/>
              <w:left w:val="nil"/>
              <w:bottom w:val="nil"/>
              <w:right w:val="nil"/>
            </w:tcBorders>
            <w:noWrap/>
            <w:vAlign w:val="center"/>
            <w:hideMark/>
          </w:tcPr>
          <w:p w14:paraId="13520E69"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1.1E-04</w:t>
            </w:r>
          </w:p>
        </w:tc>
        <w:tc>
          <w:tcPr>
            <w:tcW w:w="1162" w:type="pct"/>
            <w:tcBorders>
              <w:top w:val="nil"/>
              <w:left w:val="nil"/>
              <w:bottom w:val="nil"/>
              <w:right w:val="nil"/>
            </w:tcBorders>
            <w:noWrap/>
            <w:vAlign w:val="center"/>
            <w:hideMark/>
          </w:tcPr>
          <w:p w14:paraId="4DFF92E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c>
          <w:tcPr>
            <w:tcW w:w="1156" w:type="pct"/>
            <w:tcBorders>
              <w:top w:val="nil"/>
              <w:left w:val="nil"/>
              <w:bottom w:val="nil"/>
              <w:right w:val="nil"/>
            </w:tcBorders>
            <w:noWrap/>
            <w:vAlign w:val="center"/>
            <w:hideMark/>
          </w:tcPr>
          <w:p w14:paraId="60B2BF8B"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06C8308C" w14:textId="77777777" w:rsidTr="00AC019B">
        <w:trPr>
          <w:trHeight w:val="20"/>
        </w:trPr>
        <w:tc>
          <w:tcPr>
            <w:tcW w:w="489" w:type="pct"/>
            <w:tcBorders>
              <w:top w:val="nil"/>
              <w:left w:val="nil"/>
              <w:bottom w:val="nil"/>
              <w:right w:val="nil"/>
            </w:tcBorders>
            <w:noWrap/>
            <w:vAlign w:val="center"/>
            <w:hideMark/>
          </w:tcPr>
          <w:p w14:paraId="5A5F8398"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1851</w:t>
            </w:r>
          </w:p>
        </w:tc>
        <w:tc>
          <w:tcPr>
            <w:tcW w:w="613" w:type="pct"/>
            <w:tcBorders>
              <w:top w:val="nil"/>
              <w:left w:val="nil"/>
              <w:bottom w:val="nil"/>
              <w:right w:val="nil"/>
            </w:tcBorders>
            <w:noWrap/>
            <w:vAlign w:val="center"/>
            <w:hideMark/>
          </w:tcPr>
          <w:p w14:paraId="1D4846D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0.94</w:t>
            </w:r>
          </w:p>
        </w:tc>
        <w:tc>
          <w:tcPr>
            <w:tcW w:w="489" w:type="pct"/>
            <w:tcBorders>
              <w:top w:val="nil"/>
              <w:left w:val="nil"/>
              <w:bottom w:val="nil"/>
              <w:right w:val="nil"/>
            </w:tcBorders>
            <w:noWrap/>
            <w:vAlign w:val="center"/>
            <w:hideMark/>
          </w:tcPr>
          <w:p w14:paraId="78D1AFA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1.1E-03</w:t>
            </w:r>
          </w:p>
        </w:tc>
        <w:tc>
          <w:tcPr>
            <w:tcW w:w="602" w:type="pct"/>
            <w:tcBorders>
              <w:top w:val="nil"/>
              <w:left w:val="nil"/>
              <w:bottom w:val="nil"/>
              <w:right w:val="nil"/>
            </w:tcBorders>
            <w:noWrap/>
            <w:vAlign w:val="center"/>
            <w:hideMark/>
          </w:tcPr>
          <w:p w14:paraId="1F4C201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1.16</w:t>
            </w:r>
          </w:p>
        </w:tc>
        <w:tc>
          <w:tcPr>
            <w:tcW w:w="489" w:type="pct"/>
            <w:tcBorders>
              <w:top w:val="nil"/>
              <w:left w:val="nil"/>
              <w:bottom w:val="nil"/>
              <w:right w:val="nil"/>
            </w:tcBorders>
            <w:noWrap/>
            <w:vAlign w:val="center"/>
            <w:hideMark/>
          </w:tcPr>
          <w:p w14:paraId="4678C3F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1.3E-05</w:t>
            </w:r>
          </w:p>
        </w:tc>
        <w:tc>
          <w:tcPr>
            <w:tcW w:w="1162" w:type="pct"/>
            <w:tcBorders>
              <w:top w:val="nil"/>
              <w:left w:val="nil"/>
              <w:bottom w:val="nil"/>
              <w:right w:val="nil"/>
            </w:tcBorders>
            <w:noWrap/>
            <w:vAlign w:val="center"/>
            <w:hideMark/>
          </w:tcPr>
          <w:p w14:paraId="22039761"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c>
          <w:tcPr>
            <w:tcW w:w="1156" w:type="pct"/>
            <w:tcBorders>
              <w:top w:val="nil"/>
              <w:left w:val="nil"/>
              <w:bottom w:val="nil"/>
              <w:right w:val="nil"/>
            </w:tcBorders>
            <w:noWrap/>
            <w:vAlign w:val="center"/>
            <w:hideMark/>
          </w:tcPr>
          <w:p w14:paraId="7ED32F3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79FB5E4F" w14:textId="77777777" w:rsidTr="00AC019B">
        <w:trPr>
          <w:trHeight w:val="20"/>
        </w:trPr>
        <w:tc>
          <w:tcPr>
            <w:tcW w:w="489" w:type="pct"/>
            <w:tcBorders>
              <w:top w:val="nil"/>
              <w:left w:val="nil"/>
              <w:bottom w:val="nil"/>
              <w:right w:val="nil"/>
            </w:tcBorders>
            <w:noWrap/>
            <w:vAlign w:val="center"/>
            <w:hideMark/>
          </w:tcPr>
          <w:p w14:paraId="48FB283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2127</w:t>
            </w:r>
          </w:p>
        </w:tc>
        <w:tc>
          <w:tcPr>
            <w:tcW w:w="613" w:type="pct"/>
            <w:tcBorders>
              <w:top w:val="nil"/>
              <w:left w:val="nil"/>
              <w:bottom w:val="nil"/>
              <w:right w:val="nil"/>
            </w:tcBorders>
            <w:noWrap/>
            <w:vAlign w:val="center"/>
            <w:hideMark/>
          </w:tcPr>
          <w:p w14:paraId="664309D7"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0.64</w:t>
            </w:r>
          </w:p>
        </w:tc>
        <w:tc>
          <w:tcPr>
            <w:tcW w:w="489" w:type="pct"/>
            <w:tcBorders>
              <w:top w:val="nil"/>
              <w:left w:val="nil"/>
              <w:bottom w:val="nil"/>
              <w:right w:val="nil"/>
            </w:tcBorders>
            <w:noWrap/>
            <w:vAlign w:val="center"/>
            <w:hideMark/>
          </w:tcPr>
          <w:p w14:paraId="34DD75F7"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1.6E-05</w:t>
            </w:r>
          </w:p>
        </w:tc>
        <w:tc>
          <w:tcPr>
            <w:tcW w:w="602" w:type="pct"/>
            <w:tcBorders>
              <w:top w:val="nil"/>
              <w:left w:val="nil"/>
              <w:bottom w:val="nil"/>
              <w:right w:val="nil"/>
            </w:tcBorders>
            <w:noWrap/>
            <w:vAlign w:val="center"/>
            <w:hideMark/>
          </w:tcPr>
          <w:p w14:paraId="2F035E0C"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0.63</w:t>
            </w:r>
          </w:p>
        </w:tc>
        <w:tc>
          <w:tcPr>
            <w:tcW w:w="489" w:type="pct"/>
            <w:tcBorders>
              <w:top w:val="nil"/>
              <w:left w:val="nil"/>
              <w:bottom w:val="nil"/>
              <w:right w:val="nil"/>
            </w:tcBorders>
            <w:noWrap/>
            <w:vAlign w:val="center"/>
            <w:hideMark/>
          </w:tcPr>
          <w:p w14:paraId="2F3BB99E"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1.3E-04</w:t>
            </w:r>
          </w:p>
        </w:tc>
        <w:tc>
          <w:tcPr>
            <w:tcW w:w="1162" w:type="pct"/>
            <w:tcBorders>
              <w:top w:val="nil"/>
              <w:left w:val="nil"/>
              <w:bottom w:val="nil"/>
              <w:right w:val="nil"/>
            </w:tcBorders>
            <w:noWrap/>
            <w:vAlign w:val="center"/>
            <w:hideMark/>
          </w:tcPr>
          <w:p w14:paraId="214CB24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165FF309"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5869E931" w14:textId="77777777" w:rsidTr="00AC019B">
        <w:trPr>
          <w:trHeight w:val="20"/>
        </w:trPr>
        <w:tc>
          <w:tcPr>
            <w:tcW w:w="489" w:type="pct"/>
            <w:tcBorders>
              <w:top w:val="nil"/>
              <w:left w:val="nil"/>
              <w:bottom w:val="nil"/>
              <w:right w:val="nil"/>
            </w:tcBorders>
            <w:noWrap/>
            <w:vAlign w:val="center"/>
            <w:hideMark/>
          </w:tcPr>
          <w:p w14:paraId="3B5DE5D3"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2291</w:t>
            </w:r>
          </w:p>
        </w:tc>
        <w:tc>
          <w:tcPr>
            <w:tcW w:w="613" w:type="pct"/>
            <w:tcBorders>
              <w:top w:val="nil"/>
              <w:left w:val="nil"/>
              <w:bottom w:val="nil"/>
              <w:right w:val="nil"/>
            </w:tcBorders>
            <w:noWrap/>
            <w:vAlign w:val="center"/>
            <w:hideMark/>
          </w:tcPr>
          <w:p w14:paraId="1C46A380"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1.05</w:t>
            </w:r>
          </w:p>
        </w:tc>
        <w:tc>
          <w:tcPr>
            <w:tcW w:w="489" w:type="pct"/>
            <w:tcBorders>
              <w:top w:val="nil"/>
              <w:left w:val="nil"/>
              <w:bottom w:val="nil"/>
              <w:right w:val="nil"/>
            </w:tcBorders>
            <w:noWrap/>
            <w:vAlign w:val="center"/>
            <w:hideMark/>
          </w:tcPr>
          <w:p w14:paraId="5CFB22C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2.5E-04</w:t>
            </w:r>
          </w:p>
        </w:tc>
        <w:tc>
          <w:tcPr>
            <w:tcW w:w="602" w:type="pct"/>
            <w:tcBorders>
              <w:top w:val="nil"/>
              <w:left w:val="nil"/>
              <w:bottom w:val="nil"/>
              <w:right w:val="nil"/>
            </w:tcBorders>
            <w:noWrap/>
            <w:vAlign w:val="center"/>
            <w:hideMark/>
          </w:tcPr>
          <w:p w14:paraId="29728F8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1.09</w:t>
            </w:r>
          </w:p>
        </w:tc>
        <w:tc>
          <w:tcPr>
            <w:tcW w:w="489" w:type="pct"/>
            <w:tcBorders>
              <w:top w:val="nil"/>
              <w:left w:val="nil"/>
              <w:bottom w:val="nil"/>
              <w:right w:val="nil"/>
            </w:tcBorders>
            <w:noWrap/>
            <w:vAlign w:val="center"/>
            <w:hideMark/>
          </w:tcPr>
          <w:p w14:paraId="2AF9EAD7"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1.1E-03</w:t>
            </w:r>
          </w:p>
        </w:tc>
        <w:tc>
          <w:tcPr>
            <w:tcW w:w="1162" w:type="pct"/>
            <w:tcBorders>
              <w:top w:val="nil"/>
              <w:left w:val="nil"/>
              <w:bottom w:val="nil"/>
              <w:right w:val="nil"/>
            </w:tcBorders>
            <w:noWrap/>
            <w:vAlign w:val="center"/>
            <w:hideMark/>
          </w:tcPr>
          <w:p w14:paraId="50B3130B"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00EE7E2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r>
      <w:tr w:rsidR="00AC019B" w:rsidRPr="001127A1" w14:paraId="00B3DAA8" w14:textId="77777777" w:rsidTr="00AC019B">
        <w:trPr>
          <w:trHeight w:val="20"/>
        </w:trPr>
        <w:tc>
          <w:tcPr>
            <w:tcW w:w="489" w:type="pct"/>
            <w:tcBorders>
              <w:top w:val="nil"/>
              <w:left w:val="nil"/>
              <w:bottom w:val="nil"/>
              <w:right w:val="nil"/>
            </w:tcBorders>
            <w:noWrap/>
            <w:vAlign w:val="center"/>
            <w:hideMark/>
          </w:tcPr>
          <w:p w14:paraId="7223ECE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2358</w:t>
            </w:r>
          </w:p>
        </w:tc>
        <w:tc>
          <w:tcPr>
            <w:tcW w:w="613" w:type="pct"/>
            <w:tcBorders>
              <w:top w:val="nil"/>
              <w:left w:val="nil"/>
              <w:bottom w:val="nil"/>
              <w:right w:val="nil"/>
            </w:tcBorders>
            <w:noWrap/>
            <w:vAlign w:val="center"/>
            <w:hideMark/>
          </w:tcPr>
          <w:p w14:paraId="6743E84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1.10</w:t>
            </w:r>
          </w:p>
        </w:tc>
        <w:tc>
          <w:tcPr>
            <w:tcW w:w="489" w:type="pct"/>
            <w:tcBorders>
              <w:top w:val="nil"/>
              <w:left w:val="nil"/>
              <w:bottom w:val="nil"/>
              <w:right w:val="nil"/>
            </w:tcBorders>
            <w:noWrap/>
            <w:vAlign w:val="center"/>
            <w:hideMark/>
          </w:tcPr>
          <w:p w14:paraId="3333CD61"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3.0E-04</w:t>
            </w:r>
          </w:p>
        </w:tc>
        <w:tc>
          <w:tcPr>
            <w:tcW w:w="602" w:type="pct"/>
            <w:tcBorders>
              <w:top w:val="nil"/>
              <w:left w:val="nil"/>
              <w:bottom w:val="nil"/>
              <w:right w:val="nil"/>
            </w:tcBorders>
            <w:noWrap/>
            <w:vAlign w:val="center"/>
            <w:hideMark/>
          </w:tcPr>
          <w:p w14:paraId="655AE24B"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0.85</w:t>
            </w:r>
          </w:p>
        </w:tc>
        <w:tc>
          <w:tcPr>
            <w:tcW w:w="489" w:type="pct"/>
            <w:tcBorders>
              <w:top w:val="nil"/>
              <w:left w:val="nil"/>
              <w:bottom w:val="nil"/>
              <w:right w:val="nil"/>
            </w:tcBorders>
            <w:noWrap/>
            <w:vAlign w:val="center"/>
            <w:hideMark/>
          </w:tcPr>
          <w:p w14:paraId="6AA85233"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7.3E-03</w:t>
            </w:r>
          </w:p>
        </w:tc>
        <w:tc>
          <w:tcPr>
            <w:tcW w:w="1162" w:type="pct"/>
            <w:tcBorders>
              <w:top w:val="nil"/>
              <w:left w:val="nil"/>
              <w:bottom w:val="nil"/>
              <w:right w:val="nil"/>
            </w:tcBorders>
            <w:noWrap/>
            <w:vAlign w:val="center"/>
            <w:hideMark/>
          </w:tcPr>
          <w:p w14:paraId="56667180"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331D28D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r>
      <w:tr w:rsidR="00AC019B" w:rsidRPr="001127A1" w14:paraId="45E109CD" w14:textId="77777777" w:rsidTr="00AC019B">
        <w:trPr>
          <w:trHeight w:val="20"/>
        </w:trPr>
        <w:tc>
          <w:tcPr>
            <w:tcW w:w="489" w:type="pct"/>
            <w:tcBorders>
              <w:top w:val="nil"/>
              <w:left w:val="nil"/>
              <w:bottom w:val="nil"/>
              <w:right w:val="nil"/>
            </w:tcBorders>
            <w:noWrap/>
            <w:vAlign w:val="center"/>
            <w:hideMark/>
          </w:tcPr>
          <w:p w14:paraId="0ED814C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2700</w:t>
            </w:r>
          </w:p>
        </w:tc>
        <w:tc>
          <w:tcPr>
            <w:tcW w:w="613" w:type="pct"/>
            <w:tcBorders>
              <w:top w:val="nil"/>
              <w:left w:val="nil"/>
              <w:bottom w:val="nil"/>
              <w:right w:val="nil"/>
            </w:tcBorders>
            <w:noWrap/>
            <w:vAlign w:val="center"/>
            <w:hideMark/>
          </w:tcPr>
          <w:p w14:paraId="12A1130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-0.81</w:t>
            </w:r>
          </w:p>
        </w:tc>
        <w:tc>
          <w:tcPr>
            <w:tcW w:w="489" w:type="pct"/>
            <w:tcBorders>
              <w:top w:val="nil"/>
              <w:left w:val="nil"/>
              <w:bottom w:val="nil"/>
              <w:right w:val="nil"/>
            </w:tcBorders>
            <w:noWrap/>
            <w:vAlign w:val="center"/>
            <w:hideMark/>
          </w:tcPr>
          <w:p w14:paraId="4863832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4.5E-02</w:t>
            </w:r>
          </w:p>
        </w:tc>
        <w:tc>
          <w:tcPr>
            <w:tcW w:w="602" w:type="pct"/>
            <w:tcBorders>
              <w:top w:val="nil"/>
              <w:left w:val="nil"/>
              <w:bottom w:val="nil"/>
              <w:right w:val="nil"/>
            </w:tcBorders>
            <w:noWrap/>
            <w:vAlign w:val="center"/>
            <w:hideMark/>
          </w:tcPr>
          <w:p w14:paraId="2CABCA5F"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-1.30</w:t>
            </w:r>
          </w:p>
        </w:tc>
        <w:tc>
          <w:tcPr>
            <w:tcW w:w="489" w:type="pct"/>
            <w:tcBorders>
              <w:top w:val="nil"/>
              <w:left w:val="nil"/>
              <w:bottom w:val="nil"/>
              <w:right w:val="nil"/>
            </w:tcBorders>
            <w:noWrap/>
            <w:vAlign w:val="center"/>
            <w:hideMark/>
          </w:tcPr>
          <w:p w14:paraId="557F741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6.1E-05</w:t>
            </w:r>
          </w:p>
        </w:tc>
        <w:tc>
          <w:tcPr>
            <w:tcW w:w="1162" w:type="pct"/>
            <w:tcBorders>
              <w:top w:val="nil"/>
              <w:left w:val="nil"/>
              <w:bottom w:val="nil"/>
              <w:right w:val="nil"/>
            </w:tcBorders>
            <w:noWrap/>
            <w:vAlign w:val="center"/>
            <w:hideMark/>
          </w:tcPr>
          <w:p w14:paraId="15950DBE"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c>
          <w:tcPr>
            <w:tcW w:w="1156" w:type="pct"/>
            <w:tcBorders>
              <w:top w:val="nil"/>
              <w:left w:val="nil"/>
              <w:bottom w:val="nil"/>
              <w:right w:val="nil"/>
            </w:tcBorders>
            <w:noWrap/>
            <w:vAlign w:val="center"/>
            <w:hideMark/>
          </w:tcPr>
          <w:p w14:paraId="123CE9C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39DB3B7A" w14:textId="77777777" w:rsidTr="00AC019B">
        <w:trPr>
          <w:trHeight w:val="20"/>
        </w:trPr>
        <w:tc>
          <w:tcPr>
            <w:tcW w:w="489" w:type="pct"/>
            <w:tcBorders>
              <w:top w:val="nil"/>
              <w:left w:val="nil"/>
              <w:bottom w:val="nil"/>
              <w:right w:val="nil"/>
            </w:tcBorders>
            <w:noWrap/>
            <w:vAlign w:val="center"/>
            <w:hideMark/>
          </w:tcPr>
          <w:p w14:paraId="6541D22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3329</w:t>
            </w:r>
          </w:p>
        </w:tc>
        <w:tc>
          <w:tcPr>
            <w:tcW w:w="613" w:type="pct"/>
            <w:tcBorders>
              <w:top w:val="nil"/>
              <w:left w:val="nil"/>
              <w:bottom w:val="nil"/>
              <w:right w:val="nil"/>
            </w:tcBorders>
            <w:noWrap/>
            <w:vAlign w:val="center"/>
            <w:hideMark/>
          </w:tcPr>
          <w:p w14:paraId="292792A9"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-0.66</w:t>
            </w:r>
          </w:p>
        </w:tc>
        <w:tc>
          <w:tcPr>
            <w:tcW w:w="489" w:type="pct"/>
            <w:tcBorders>
              <w:top w:val="nil"/>
              <w:left w:val="nil"/>
              <w:bottom w:val="nil"/>
              <w:right w:val="nil"/>
            </w:tcBorders>
            <w:noWrap/>
            <w:vAlign w:val="center"/>
            <w:hideMark/>
          </w:tcPr>
          <w:p w14:paraId="6E32203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3.9E-05</w:t>
            </w:r>
          </w:p>
        </w:tc>
        <w:tc>
          <w:tcPr>
            <w:tcW w:w="602" w:type="pct"/>
            <w:tcBorders>
              <w:top w:val="nil"/>
              <w:left w:val="nil"/>
              <w:bottom w:val="nil"/>
              <w:right w:val="nil"/>
            </w:tcBorders>
            <w:noWrap/>
            <w:vAlign w:val="center"/>
            <w:hideMark/>
          </w:tcPr>
          <w:p w14:paraId="140B522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-0.49</w:t>
            </w:r>
          </w:p>
        </w:tc>
        <w:tc>
          <w:tcPr>
            <w:tcW w:w="489" w:type="pct"/>
            <w:tcBorders>
              <w:top w:val="nil"/>
              <w:left w:val="nil"/>
              <w:bottom w:val="nil"/>
              <w:right w:val="nil"/>
            </w:tcBorders>
            <w:noWrap/>
            <w:vAlign w:val="center"/>
            <w:hideMark/>
          </w:tcPr>
          <w:p w14:paraId="115C3AA1"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1.6E-04</w:t>
            </w:r>
          </w:p>
        </w:tc>
        <w:tc>
          <w:tcPr>
            <w:tcW w:w="1162" w:type="pct"/>
            <w:tcBorders>
              <w:top w:val="nil"/>
              <w:left w:val="nil"/>
              <w:bottom w:val="nil"/>
              <w:right w:val="nil"/>
            </w:tcBorders>
            <w:noWrap/>
            <w:vAlign w:val="center"/>
            <w:hideMark/>
          </w:tcPr>
          <w:p w14:paraId="1A41E16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6C70AE4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73659C82" w14:textId="77777777" w:rsidTr="00AC019B">
        <w:trPr>
          <w:trHeight w:val="20"/>
        </w:trPr>
        <w:tc>
          <w:tcPr>
            <w:tcW w:w="489" w:type="pct"/>
            <w:tcBorders>
              <w:top w:val="nil"/>
              <w:left w:val="nil"/>
              <w:bottom w:val="nil"/>
              <w:right w:val="nil"/>
            </w:tcBorders>
            <w:noWrap/>
            <w:vAlign w:val="center"/>
            <w:hideMark/>
          </w:tcPr>
          <w:p w14:paraId="2A85950F"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3845</w:t>
            </w:r>
          </w:p>
        </w:tc>
        <w:tc>
          <w:tcPr>
            <w:tcW w:w="613" w:type="pct"/>
            <w:tcBorders>
              <w:top w:val="nil"/>
              <w:left w:val="nil"/>
              <w:bottom w:val="nil"/>
              <w:right w:val="nil"/>
            </w:tcBorders>
            <w:noWrap/>
            <w:vAlign w:val="center"/>
            <w:hideMark/>
          </w:tcPr>
          <w:p w14:paraId="61B41CD7"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0.64</w:t>
            </w:r>
          </w:p>
        </w:tc>
        <w:tc>
          <w:tcPr>
            <w:tcW w:w="489" w:type="pct"/>
            <w:tcBorders>
              <w:top w:val="nil"/>
              <w:left w:val="nil"/>
              <w:bottom w:val="nil"/>
              <w:right w:val="nil"/>
            </w:tcBorders>
            <w:noWrap/>
            <w:vAlign w:val="center"/>
            <w:hideMark/>
          </w:tcPr>
          <w:p w14:paraId="55C34D61"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4.2E-04</w:t>
            </w:r>
          </w:p>
        </w:tc>
        <w:tc>
          <w:tcPr>
            <w:tcW w:w="602" w:type="pct"/>
            <w:tcBorders>
              <w:top w:val="nil"/>
              <w:left w:val="nil"/>
              <w:bottom w:val="nil"/>
              <w:right w:val="nil"/>
            </w:tcBorders>
            <w:noWrap/>
            <w:vAlign w:val="center"/>
            <w:hideMark/>
          </w:tcPr>
          <w:p w14:paraId="407C63F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0.71</w:t>
            </w:r>
          </w:p>
        </w:tc>
        <w:tc>
          <w:tcPr>
            <w:tcW w:w="489" w:type="pct"/>
            <w:tcBorders>
              <w:top w:val="nil"/>
              <w:left w:val="nil"/>
              <w:bottom w:val="nil"/>
              <w:right w:val="nil"/>
            </w:tcBorders>
            <w:noWrap/>
            <w:vAlign w:val="center"/>
            <w:hideMark/>
          </w:tcPr>
          <w:p w14:paraId="7F130F5B"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3.6E-04</w:t>
            </w:r>
          </w:p>
        </w:tc>
        <w:tc>
          <w:tcPr>
            <w:tcW w:w="1162" w:type="pct"/>
            <w:tcBorders>
              <w:top w:val="nil"/>
              <w:left w:val="nil"/>
              <w:bottom w:val="nil"/>
              <w:right w:val="nil"/>
            </w:tcBorders>
            <w:noWrap/>
            <w:vAlign w:val="center"/>
            <w:hideMark/>
          </w:tcPr>
          <w:p w14:paraId="19410B19"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6F538D6E"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28943A8F" w14:textId="77777777" w:rsidTr="00AC019B">
        <w:trPr>
          <w:trHeight w:val="20"/>
        </w:trPr>
        <w:tc>
          <w:tcPr>
            <w:tcW w:w="489" w:type="pct"/>
            <w:tcBorders>
              <w:top w:val="nil"/>
              <w:left w:val="nil"/>
              <w:bottom w:val="nil"/>
              <w:right w:val="nil"/>
            </w:tcBorders>
            <w:noWrap/>
            <w:vAlign w:val="center"/>
            <w:hideMark/>
          </w:tcPr>
          <w:p w14:paraId="1C3228A1"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4177</w:t>
            </w:r>
          </w:p>
        </w:tc>
        <w:tc>
          <w:tcPr>
            <w:tcW w:w="613" w:type="pct"/>
            <w:tcBorders>
              <w:top w:val="nil"/>
              <w:left w:val="nil"/>
              <w:bottom w:val="nil"/>
              <w:right w:val="nil"/>
            </w:tcBorders>
            <w:noWrap/>
            <w:vAlign w:val="center"/>
            <w:hideMark/>
          </w:tcPr>
          <w:p w14:paraId="4B4D76A3"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0.66</w:t>
            </w:r>
          </w:p>
        </w:tc>
        <w:tc>
          <w:tcPr>
            <w:tcW w:w="489" w:type="pct"/>
            <w:tcBorders>
              <w:top w:val="nil"/>
              <w:left w:val="nil"/>
              <w:bottom w:val="nil"/>
              <w:right w:val="nil"/>
            </w:tcBorders>
            <w:noWrap/>
            <w:vAlign w:val="center"/>
            <w:hideMark/>
          </w:tcPr>
          <w:p w14:paraId="75CD365C"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6.6E-04</w:t>
            </w:r>
          </w:p>
        </w:tc>
        <w:tc>
          <w:tcPr>
            <w:tcW w:w="602" w:type="pct"/>
            <w:tcBorders>
              <w:top w:val="nil"/>
              <w:left w:val="nil"/>
              <w:bottom w:val="nil"/>
              <w:right w:val="nil"/>
            </w:tcBorders>
            <w:noWrap/>
            <w:vAlign w:val="center"/>
            <w:hideMark/>
          </w:tcPr>
          <w:p w14:paraId="5CAB5DE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0.44</w:t>
            </w:r>
          </w:p>
        </w:tc>
        <w:tc>
          <w:tcPr>
            <w:tcW w:w="489" w:type="pct"/>
            <w:tcBorders>
              <w:top w:val="nil"/>
              <w:left w:val="nil"/>
              <w:bottom w:val="nil"/>
              <w:right w:val="nil"/>
            </w:tcBorders>
            <w:noWrap/>
            <w:vAlign w:val="center"/>
            <w:hideMark/>
          </w:tcPr>
          <w:p w14:paraId="353D87AF"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1.8E-02</w:t>
            </w:r>
          </w:p>
        </w:tc>
        <w:tc>
          <w:tcPr>
            <w:tcW w:w="1162" w:type="pct"/>
            <w:tcBorders>
              <w:top w:val="nil"/>
              <w:left w:val="nil"/>
              <w:bottom w:val="nil"/>
              <w:right w:val="nil"/>
            </w:tcBorders>
            <w:noWrap/>
            <w:vAlign w:val="center"/>
            <w:hideMark/>
          </w:tcPr>
          <w:p w14:paraId="148B239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38E0F14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r>
      <w:tr w:rsidR="00AC019B" w:rsidRPr="001127A1" w14:paraId="3D585FBD" w14:textId="77777777" w:rsidTr="00AC019B">
        <w:trPr>
          <w:trHeight w:val="20"/>
        </w:trPr>
        <w:tc>
          <w:tcPr>
            <w:tcW w:w="489" w:type="pct"/>
            <w:tcBorders>
              <w:top w:val="nil"/>
              <w:left w:val="nil"/>
              <w:bottom w:val="nil"/>
              <w:right w:val="nil"/>
            </w:tcBorders>
            <w:noWrap/>
            <w:vAlign w:val="center"/>
            <w:hideMark/>
          </w:tcPr>
          <w:p w14:paraId="599741A9"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4178</w:t>
            </w:r>
          </w:p>
        </w:tc>
        <w:tc>
          <w:tcPr>
            <w:tcW w:w="613" w:type="pct"/>
            <w:tcBorders>
              <w:top w:val="nil"/>
              <w:left w:val="nil"/>
              <w:bottom w:val="nil"/>
              <w:right w:val="nil"/>
            </w:tcBorders>
            <w:noWrap/>
            <w:vAlign w:val="center"/>
            <w:hideMark/>
          </w:tcPr>
          <w:p w14:paraId="1ABED5B3"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-0.76</w:t>
            </w:r>
          </w:p>
        </w:tc>
        <w:tc>
          <w:tcPr>
            <w:tcW w:w="489" w:type="pct"/>
            <w:tcBorders>
              <w:top w:val="nil"/>
              <w:left w:val="nil"/>
              <w:bottom w:val="nil"/>
              <w:right w:val="nil"/>
            </w:tcBorders>
            <w:noWrap/>
            <w:vAlign w:val="center"/>
            <w:hideMark/>
          </w:tcPr>
          <w:p w14:paraId="2618FDAF"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7.5E-04</w:t>
            </w:r>
          </w:p>
        </w:tc>
        <w:tc>
          <w:tcPr>
            <w:tcW w:w="602" w:type="pct"/>
            <w:tcBorders>
              <w:top w:val="nil"/>
              <w:left w:val="nil"/>
              <w:bottom w:val="nil"/>
              <w:right w:val="nil"/>
            </w:tcBorders>
            <w:noWrap/>
            <w:vAlign w:val="center"/>
            <w:hideMark/>
          </w:tcPr>
          <w:p w14:paraId="27C8EB4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-0.70</w:t>
            </w:r>
          </w:p>
        </w:tc>
        <w:tc>
          <w:tcPr>
            <w:tcW w:w="489" w:type="pct"/>
            <w:tcBorders>
              <w:top w:val="nil"/>
              <w:left w:val="nil"/>
              <w:bottom w:val="nil"/>
              <w:right w:val="nil"/>
            </w:tcBorders>
            <w:noWrap/>
            <w:vAlign w:val="center"/>
            <w:hideMark/>
          </w:tcPr>
          <w:p w14:paraId="61F5FDCB"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9.2E-03</w:t>
            </w:r>
          </w:p>
        </w:tc>
        <w:tc>
          <w:tcPr>
            <w:tcW w:w="1162" w:type="pct"/>
            <w:tcBorders>
              <w:top w:val="nil"/>
              <w:left w:val="nil"/>
              <w:bottom w:val="nil"/>
              <w:right w:val="nil"/>
            </w:tcBorders>
            <w:noWrap/>
            <w:vAlign w:val="center"/>
            <w:hideMark/>
          </w:tcPr>
          <w:p w14:paraId="3516452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32673B3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r>
      <w:tr w:rsidR="00AC019B" w:rsidRPr="001127A1" w14:paraId="1E46B57E" w14:textId="77777777" w:rsidTr="00AC019B">
        <w:trPr>
          <w:trHeight w:val="20"/>
        </w:trPr>
        <w:tc>
          <w:tcPr>
            <w:tcW w:w="489" w:type="pct"/>
            <w:tcBorders>
              <w:top w:val="nil"/>
              <w:left w:val="nil"/>
              <w:bottom w:val="nil"/>
              <w:right w:val="nil"/>
            </w:tcBorders>
            <w:noWrap/>
            <w:vAlign w:val="center"/>
            <w:hideMark/>
          </w:tcPr>
          <w:p w14:paraId="025DA191"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5032</w:t>
            </w:r>
          </w:p>
        </w:tc>
        <w:tc>
          <w:tcPr>
            <w:tcW w:w="613" w:type="pct"/>
            <w:tcBorders>
              <w:top w:val="nil"/>
              <w:left w:val="nil"/>
              <w:bottom w:val="nil"/>
              <w:right w:val="nil"/>
            </w:tcBorders>
            <w:noWrap/>
            <w:vAlign w:val="center"/>
            <w:hideMark/>
          </w:tcPr>
          <w:p w14:paraId="5D0BEB3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0.71</w:t>
            </w:r>
          </w:p>
        </w:tc>
        <w:tc>
          <w:tcPr>
            <w:tcW w:w="489" w:type="pct"/>
            <w:tcBorders>
              <w:top w:val="nil"/>
              <w:left w:val="nil"/>
              <w:bottom w:val="nil"/>
              <w:right w:val="nil"/>
            </w:tcBorders>
            <w:noWrap/>
            <w:vAlign w:val="center"/>
            <w:hideMark/>
          </w:tcPr>
          <w:p w14:paraId="2D4BE8B7"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3.8E-05</w:t>
            </w:r>
          </w:p>
        </w:tc>
        <w:tc>
          <w:tcPr>
            <w:tcW w:w="602" w:type="pct"/>
            <w:tcBorders>
              <w:top w:val="nil"/>
              <w:left w:val="nil"/>
              <w:bottom w:val="nil"/>
              <w:right w:val="nil"/>
            </w:tcBorders>
            <w:noWrap/>
            <w:vAlign w:val="center"/>
            <w:hideMark/>
          </w:tcPr>
          <w:p w14:paraId="542B7A63"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0.40</w:t>
            </w:r>
          </w:p>
        </w:tc>
        <w:tc>
          <w:tcPr>
            <w:tcW w:w="489" w:type="pct"/>
            <w:tcBorders>
              <w:top w:val="nil"/>
              <w:left w:val="nil"/>
              <w:bottom w:val="nil"/>
              <w:right w:val="nil"/>
            </w:tcBorders>
            <w:noWrap/>
            <w:vAlign w:val="center"/>
            <w:hideMark/>
          </w:tcPr>
          <w:p w14:paraId="230313D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1.5E-02</w:t>
            </w:r>
          </w:p>
        </w:tc>
        <w:tc>
          <w:tcPr>
            <w:tcW w:w="1162" w:type="pct"/>
            <w:tcBorders>
              <w:top w:val="nil"/>
              <w:left w:val="nil"/>
              <w:bottom w:val="nil"/>
              <w:right w:val="nil"/>
            </w:tcBorders>
            <w:noWrap/>
            <w:vAlign w:val="center"/>
            <w:hideMark/>
          </w:tcPr>
          <w:p w14:paraId="481DCE57"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3A81BD4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r>
      <w:tr w:rsidR="00AC019B" w:rsidRPr="001127A1" w14:paraId="5D0D9DCA" w14:textId="77777777" w:rsidTr="00AC019B">
        <w:trPr>
          <w:trHeight w:val="20"/>
        </w:trPr>
        <w:tc>
          <w:tcPr>
            <w:tcW w:w="489" w:type="pct"/>
            <w:tcBorders>
              <w:top w:val="nil"/>
              <w:left w:val="nil"/>
              <w:bottom w:val="nil"/>
              <w:right w:val="nil"/>
            </w:tcBorders>
            <w:noWrap/>
            <w:vAlign w:val="center"/>
            <w:hideMark/>
          </w:tcPr>
          <w:p w14:paraId="19AD69CF"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5256</w:t>
            </w:r>
          </w:p>
        </w:tc>
        <w:tc>
          <w:tcPr>
            <w:tcW w:w="613" w:type="pct"/>
            <w:tcBorders>
              <w:top w:val="nil"/>
              <w:left w:val="nil"/>
              <w:bottom w:val="nil"/>
              <w:right w:val="nil"/>
            </w:tcBorders>
            <w:noWrap/>
            <w:vAlign w:val="center"/>
            <w:hideMark/>
          </w:tcPr>
          <w:p w14:paraId="2CC0E52B"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0.64</w:t>
            </w:r>
          </w:p>
        </w:tc>
        <w:tc>
          <w:tcPr>
            <w:tcW w:w="489" w:type="pct"/>
            <w:tcBorders>
              <w:top w:val="nil"/>
              <w:left w:val="nil"/>
              <w:bottom w:val="nil"/>
              <w:right w:val="nil"/>
            </w:tcBorders>
            <w:noWrap/>
            <w:vAlign w:val="center"/>
            <w:hideMark/>
          </w:tcPr>
          <w:p w14:paraId="7F247A9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6.2E-04</w:t>
            </w:r>
          </w:p>
        </w:tc>
        <w:tc>
          <w:tcPr>
            <w:tcW w:w="602" w:type="pct"/>
            <w:tcBorders>
              <w:top w:val="nil"/>
              <w:left w:val="nil"/>
              <w:bottom w:val="nil"/>
              <w:right w:val="nil"/>
            </w:tcBorders>
            <w:noWrap/>
            <w:vAlign w:val="center"/>
            <w:hideMark/>
          </w:tcPr>
          <w:p w14:paraId="357FAFC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0.64</w:t>
            </w:r>
          </w:p>
        </w:tc>
        <w:tc>
          <w:tcPr>
            <w:tcW w:w="489" w:type="pct"/>
            <w:tcBorders>
              <w:top w:val="nil"/>
              <w:left w:val="nil"/>
              <w:bottom w:val="nil"/>
              <w:right w:val="nil"/>
            </w:tcBorders>
            <w:noWrap/>
            <w:vAlign w:val="center"/>
            <w:hideMark/>
          </w:tcPr>
          <w:p w14:paraId="7E870C5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2.9E-04</w:t>
            </w:r>
          </w:p>
        </w:tc>
        <w:tc>
          <w:tcPr>
            <w:tcW w:w="1162" w:type="pct"/>
            <w:tcBorders>
              <w:top w:val="nil"/>
              <w:left w:val="nil"/>
              <w:bottom w:val="nil"/>
              <w:right w:val="nil"/>
            </w:tcBorders>
            <w:noWrap/>
            <w:vAlign w:val="center"/>
            <w:hideMark/>
          </w:tcPr>
          <w:p w14:paraId="1DF0E4B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3D82C6B3"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5D997C3B" w14:textId="77777777" w:rsidTr="00AC019B">
        <w:trPr>
          <w:trHeight w:val="20"/>
        </w:trPr>
        <w:tc>
          <w:tcPr>
            <w:tcW w:w="489" w:type="pct"/>
            <w:tcBorders>
              <w:top w:val="nil"/>
              <w:left w:val="nil"/>
              <w:bottom w:val="nil"/>
              <w:right w:val="nil"/>
            </w:tcBorders>
            <w:noWrap/>
            <w:vAlign w:val="center"/>
            <w:hideMark/>
          </w:tcPr>
          <w:p w14:paraId="6E6B234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5276</w:t>
            </w:r>
          </w:p>
        </w:tc>
        <w:tc>
          <w:tcPr>
            <w:tcW w:w="613" w:type="pct"/>
            <w:tcBorders>
              <w:top w:val="nil"/>
              <w:left w:val="nil"/>
              <w:bottom w:val="nil"/>
              <w:right w:val="nil"/>
            </w:tcBorders>
            <w:noWrap/>
            <w:vAlign w:val="center"/>
            <w:hideMark/>
          </w:tcPr>
          <w:p w14:paraId="1F352CEB"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0.59</w:t>
            </w:r>
          </w:p>
        </w:tc>
        <w:tc>
          <w:tcPr>
            <w:tcW w:w="489" w:type="pct"/>
            <w:tcBorders>
              <w:top w:val="nil"/>
              <w:left w:val="nil"/>
              <w:bottom w:val="nil"/>
              <w:right w:val="nil"/>
            </w:tcBorders>
            <w:noWrap/>
            <w:vAlign w:val="center"/>
            <w:hideMark/>
          </w:tcPr>
          <w:p w14:paraId="5608E9D8"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2.9E-04</w:t>
            </w:r>
          </w:p>
        </w:tc>
        <w:tc>
          <w:tcPr>
            <w:tcW w:w="602" w:type="pct"/>
            <w:tcBorders>
              <w:top w:val="nil"/>
              <w:left w:val="nil"/>
              <w:bottom w:val="nil"/>
              <w:right w:val="nil"/>
            </w:tcBorders>
            <w:noWrap/>
            <w:vAlign w:val="center"/>
            <w:hideMark/>
          </w:tcPr>
          <w:p w14:paraId="2EFFDF5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0.53</w:t>
            </w:r>
          </w:p>
        </w:tc>
        <w:tc>
          <w:tcPr>
            <w:tcW w:w="489" w:type="pct"/>
            <w:tcBorders>
              <w:top w:val="nil"/>
              <w:left w:val="nil"/>
              <w:bottom w:val="nil"/>
              <w:right w:val="nil"/>
            </w:tcBorders>
            <w:noWrap/>
            <w:vAlign w:val="center"/>
            <w:hideMark/>
          </w:tcPr>
          <w:p w14:paraId="29278DE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4.3E-03</w:t>
            </w:r>
          </w:p>
        </w:tc>
        <w:tc>
          <w:tcPr>
            <w:tcW w:w="1162" w:type="pct"/>
            <w:tcBorders>
              <w:top w:val="nil"/>
              <w:left w:val="nil"/>
              <w:bottom w:val="nil"/>
              <w:right w:val="nil"/>
            </w:tcBorders>
            <w:noWrap/>
            <w:vAlign w:val="center"/>
            <w:hideMark/>
          </w:tcPr>
          <w:p w14:paraId="6D7ACDF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1B3BBB9F"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r>
      <w:tr w:rsidR="00AC019B" w:rsidRPr="001127A1" w14:paraId="3F1B3C66" w14:textId="77777777" w:rsidTr="00AC019B">
        <w:trPr>
          <w:trHeight w:val="20"/>
        </w:trPr>
        <w:tc>
          <w:tcPr>
            <w:tcW w:w="489" w:type="pct"/>
            <w:tcBorders>
              <w:top w:val="nil"/>
              <w:left w:val="nil"/>
              <w:bottom w:val="nil"/>
              <w:right w:val="nil"/>
            </w:tcBorders>
            <w:noWrap/>
            <w:vAlign w:val="center"/>
            <w:hideMark/>
          </w:tcPr>
          <w:p w14:paraId="643FC97C"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5591</w:t>
            </w:r>
          </w:p>
        </w:tc>
        <w:tc>
          <w:tcPr>
            <w:tcW w:w="613" w:type="pct"/>
            <w:tcBorders>
              <w:top w:val="nil"/>
              <w:left w:val="nil"/>
              <w:bottom w:val="nil"/>
              <w:right w:val="nil"/>
            </w:tcBorders>
            <w:noWrap/>
            <w:vAlign w:val="center"/>
            <w:hideMark/>
          </w:tcPr>
          <w:p w14:paraId="7E21830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0.83</w:t>
            </w:r>
          </w:p>
        </w:tc>
        <w:tc>
          <w:tcPr>
            <w:tcW w:w="489" w:type="pct"/>
            <w:tcBorders>
              <w:top w:val="nil"/>
              <w:left w:val="nil"/>
              <w:bottom w:val="nil"/>
              <w:right w:val="nil"/>
            </w:tcBorders>
            <w:noWrap/>
            <w:vAlign w:val="center"/>
            <w:hideMark/>
          </w:tcPr>
          <w:p w14:paraId="66AC4303"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2.3E-04</w:t>
            </w:r>
          </w:p>
        </w:tc>
        <w:tc>
          <w:tcPr>
            <w:tcW w:w="602" w:type="pct"/>
            <w:tcBorders>
              <w:top w:val="nil"/>
              <w:left w:val="nil"/>
              <w:bottom w:val="nil"/>
              <w:right w:val="nil"/>
            </w:tcBorders>
            <w:noWrap/>
            <w:vAlign w:val="center"/>
            <w:hideMark/>
          </w:tcPr>
          <w:p w14:paraId="7993AF0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0.59</w:t>
            </w:r>
          </w:p>
        </w:tc>
        <w:tc>
          <w:tcPr>
            <w:tcW w:w="489" w:type="pct"/>
            <w:tcBorders>
              <w:top w:val="nil"/>
              <w:left w:val="nil"/>
              <w:bottom w:val="nil"/>
              <w:right w:val="nil"/>
            </w:tcBorders>
            <w:noWrap/>
            <w:vAlign w:val="center"/>
            <w:hideMark/>
          </w:tcPr>
          <w:p w14:paraId="31AE1FFE"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4.4E-03</w:t>
            </w:r>
          </w:p>
        </w:tc>
        <w:tc>
          <w:tcPr>
            <w:tcW w:w="1162" w:type="pct"/>
            <w:tcBorders>
              <w:top w:val="nil"/>
              <w:left w:val="nil"/>
              <w:bottom w:val="nil"/>
              <w:right w:val="nil"/>
            </w:tcBorders>
            <w:noWrap/>
            <w:vAlign w:val="center"/>
            <w:hideMark/>
          </w:tcPr>
          <w:p w14:paraId="000E30B7"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3B6F7D00"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r>
      <w:tr w:rsidR="00AC019B" w:rsidRPr="001127A1" w14:paraId="1243F309" w14:textId="77777777" w:rsidTr="00AC019B">
        <w:trPr>
          <w:trHeight w:val="20"/>
        </w:trPr>
        <w:tc>
          <w:tcPr>
            <w:tcW w:w="489" w:type="pct"/>
            <w:tcBorders>
              <w:top w:val="nil"/>
              <w:left w:val="nil"/>
              <w:bottom w:val="nil"/>
              <w:right w:val="nil"/>
            </w:tcBorders>
            <w:noWrap/>
            <w:vAlign w:val="center"/>
            <w:hideMark/>
          </w:tcPr>
          <w:p w14:paraId="12E8DC8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5609</w:t>
            </w:r>
          </w:p>
        </w:tc>
        <w:tc>
          <w:tcPr>
            <w:tcW w:w="613" w:type="pct"/>
            <w:tcBorders>
              <w:top w:val="nil"/>
              <w:left w:val="nil"/>
              <w:bottom w:val="nil"/>
              <w:right w:val="nil"/>
            </w:tcBorders>
            <w:noWrap/>
            <w:vAlign w:val="center"/>
            <w:hideMark/>
          </w:tcPr>
          <w:p w14:paraId="0A61588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0.61</w:t>
            </w:r>
          </w:p>
        </w:tc>
        <w:tc>
          <w:tcPr>
            <w:tcW w:w="489" w:type="pct"/>
            <w:tcBorders>
              <w:top w:val="nil"/>
              <w:left w:val="nil"/>
              <w:bottom w:val="nil"/>
              <w:right w:val="nil"/>
            </w:tcBorders>
            <w:noWrap/>
            <w:vAlign w:val="center"/>
            <w:hideMark/>
          </w:tcPr>
          <w:p w14:paraId="538ED87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5.8E-04</w:t>
            </w:r>
          </w:p>
        </w:tc>
        <w:tc>
          <w:tcPr>
            <w:tcW w:w="602" w:type="pct"/>
            <w:tcBorders>
              <w:top w:val="nil"/>
              <w:left w:val="nil"/>
              <w:bottom w:val="nil"/>
              <w:right w:val="nil"/>
            </w:tcBorders>
            <w:noWrap/>
            <w:vAlign w:val="center"/>
            <w:hideMark/>
          </w:tcPr>
          <w:p w14:paraId="2A130C6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0.58</w:t>
            </w:r>
          </w:p>
        </w:tc>
        <w:tc>
          <w:tcPr>
            <w:tcW w:w="489" w:type="pct"/>
            <w:tcBorders>
              <w:top w:val="nil"/>
              <w:left w:val="nil"/>
              <w:bottom w:val="nil"/>
              <w:right w:val="nil"/>
            </w:tcBorders>
            <w:noWrap/>
            <w:vAlign w:val="center"/>
            <w:hideMark/>
          </w:tcPr>
          <w:p w14:paraId="37CF5D40"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2.6E-03</w:t>
            </w:r>
          </w:p>
        </w:tc>
        <w:tc>
          <w:tcPr>
            <w:tcW w:w="1162" w:type="pct"/>
            <w:tcBorders>
              <w:top w:val="nil"/>
              <w:left w:val="nil"/>
              <w:bottom w:val="nil"/>
              <w:right w:val="nil"/>
            </w:tcBorders>
            <w:noWrap/>
            <w:vAlign w:val="center"/>
            <w:hideMark/>
          </w:tcPr>
          <w:p w14:paraId="293942EF"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nil"/>
              <w:right w:val="nil"/>
            </w:tcBorders>
            <w:noWrap/>
            <w:vAlign w:val="center"/>
            <w:hideMark/>
          </w:tcPr>
          <w:p w14:paraId="14C986C5"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r>
      <w:tr w:rsidR="00AC019B" w:rsidRPr="001127A1" w14:paraId="741FCDC6" w14:textId="77777777" w:rsidTr="00AC019B">
        <w:trPr>
          <w:trHeight w:val="20"/>
        </w:trPr>
        <w:tc>
          <w:tcPr>
            <w:tcW w:w="489" w:type="pct"/>
            <w:tcBorders>
              <w:top w:val="nil"/>
              <w:left w:val="nil"/>
              <w:bottom w:val="nil"/>
              <w:right w:val="nil"/>
            </w:tcBorders>
            <w:noWrap/>
            <w:vAlign w:val="center"/>
            <w:hideMark/>
          </w:tcPr>
          <w:p w14:paraId="53CF4DF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5821</w:t>
            </w:r>
          </w:p>
        </w:tc>
        <w:tc>
          <w:tcPr>
            <w:tcW w:w="613" w:type="pct"/>
            <w:tcBorders>
              <w:top w:val="nil"/>
              <w:left w:val="nil"/>
              <w:bottom w:val="nil"/>
              <w:right w:val="nil"/>
            </w:tcBorders>
            <w:noWrap/>
            <w:vAlign w:val="center"/>
            <w:hideMark/>
          </w:tcPr>
          <w:p w14:paraId="52EF420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0.99</w:t>
            </w:r>
          </w:p>
        </w:tc>
        <w:tc>
          <w:tcPr>
            <w:tcW w:w="489" w:type="pct"/>
            <w:tcBorders>
              <w:top w:val="nil"/>
              <w:left w:val="nil"/>
              <w:bottom w:val="nil"/>
              <w:right w:val="nil"/>
            </w:tcBorders>
            <w:noWrap/>
            <w:vAlign w:val="center"/>
            <w:hideMark/>
          </w:tcPr>
          <w:p w14:paraId="3FC47742"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3.3E-03</w:t>
            </w:r>
          </w:p>
        </w:tc>
        <w:tc>
          <w:tcPr>
            <w:tcW w:w="602" w:type="pct"/>
            <w:tcBorders>
              <w:top w:val="nil"/>
              <w:left w:val="nil"/>
              <w:bottom w:val="nil"/>
              <w:right w:val="nil"/>
            </w:tcBorders>
            <w:noWrap/>
            <w:vAlign w:val="center"/>
            <w:hideMark/>
          </w:tcPr>
          <w:p w14:paraId="6F1FF6B7"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1.27</w:t>
            </w:r>
          </w:p>
        </w:tc>
        <w:tc>
          <w:tcPr>
            <w:tcW w:w="489" w:type="pct"/>
            <w:tcBorders>
              <w:top w:val="nil"/>
              <w:left w:val="nil"/>
              <w:bottom w:val="nil"/>
              <w:right w:val="nil"/>
            </w:tcBorders>
            <w:noWrap/>
            <w:vAlign w:val="center"/>
            <w:hideMark/>
          </w:tcPr>
          <w:p w14:paraId="3848BF38"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7.2E-04</w:t>
            </w:r>
          </w:p>
        </w:tc>
        <w:tc>
          <w:tcPr>
            <w:tcW w:w="1162" w:type="pct"/>
            <w:tcBorders>
              <w:top w:val="nil"/>
              <w:left w:val="nil"/>
              <w:bottom w:val="nil"/>
              <w:right w:val="nil"/>
            </w:tcBorders>
            <w:noWrap/>
            <w:vAlign w:val="center"/>
            <w:hideMark/>
          </w:tcPr>
          <w:p w14:paraId="59DCA12E"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&lt;NA&gt;</w:t>
            </w:r>
          </w:p>
        </w:tc>
        <w:tc>
          <w:tcPr>
            <w:tcW w:w="1156" w:type="pct"/>
            <w:tcBorders>
              <w:top w:val="nil"/>
              <w:left w:val="nil"/>
              <w:bottom w:val="nil"/>
              <w:right w:val="nil"/>
            </w:tcBorders>
            <w:noWrap/>
            <w:vAlign w:val="center"/>
            <w:hideMark/>
          </w:tcPr>
          <w:p w14:paraId="002059C0"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r w:rsidR="00AC019B" w:rsidRPr="001127A1" w14:paraId="347B680D" w14:textId="77777777" w:rsidTr="00E20183">
        <w:trPr>
          <w:trHeight w:val="20"/>
        </w:trPr>
        <w:tc>
          <w:tcPr>
            <w:tcW w:w="489" w:type="pct"/>
            <w:tcBorders>
              <w:top w:val="nil"/>
              <w:left w:val="nil"/>
              <w:bottom w:val="single" w:sz="12" w:space="0" w:color="auto"/>
              <w:right w:val="nil"/>
            </w:tcBorders>
            <w:noWrap/>
            <w:vAlign w:val="center"/>
            <w:hideMark/>
          </w:tcPr>
          <w:p w14:paraId="03261986"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6317</w:t>
            </w:r>
          </w:p>
        </w:tc>
        <w:tc>
          <w:tcPr>
            <w:tcW w:w="613" w:type="pct"/>
            <w:tcBorders>
              <w:top w:val="nil"/>
              <w:left w:val="nil"/>
              <w:bottom w:val="single" w:sz="12" w:space="0" w:color="auto"/>
              <w:right w:val="nil"/>
            </w:tcBorders>
            <w:noWrap/>
            <w:vAlign w:val="center"/>
            <w:hideMark/>
          </w:tcPr>
          <w:p w14:paraId="67ADDD7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-0.58</w:t>
            </w:r>
          </w:p>
        </w:tc>
        <w:tc>
          <w:tcPr>
            <w:tcW w:w="489" w:type="pct"/>
            <w:tcBorders>
              <w:top w:val="nil"/>
              <w:left w:val="nil"/>
              <w:bottom w:val="single" w:sz="12" w:space="0" w:color="auto"/>
              <w:right w:val="nil"/>
            </w:tcBorders>
            <w:noWrap/>
            <w:vAlign w:val="center"/>
            <w:hideMark/>
          </w:tcPr>
          <w:p w14:paraId="141598B1"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1.2E-07</w:t>
            </w:r>
          </w:p>
        </w:tc>
        <w:tc>
          <w:tcPr>
            <w:tcW w:w="602" w:type="pct"/>
            <w:tcBorders>
              <w:top w:val="nil"/>
              <w:left w:val="nil"/>
              <w:bottom w:val="single" w:sz="12" w:space="0" w:color="auto"/>
              <w:right w:val="nil"/>
            </w:tcBorders>
            <w:noWrap/>
            <w:vAlign w:val="center"/>
            <w:hideMark/>
          </w:tcPr>
          <w:p w14:paraId="1B8F77D9"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-0.64</w:t>
            </w:r>
          </w:p>
        </w:tc>
        <w:tc>
          <w:tcPr>
            <w:tcW w:w="489" w:type="pct"/>
            <w:tcBorders>
              <w:top w:val="nil"/>
              <w:left w:val="nil"/>
              <w:bottom w:val="single" w:sz="12" w:space="0" w:color="auto"/>
              <w:right w:val="nil"/>
            </w:tcBorders>
            <w:noWrap/>
            <w:vAlign w:val="center"/>
            <w:hideMark/>
          </w:tcPr>
          <w:p w14:paraId="69F5867D"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2.3E-07</w:t>
            </w:r>
          </w:p>
        </w:tc>
        <w:tc>
          <w:tcPr>
            <w:tcW w:w="1162" w:type="pct"/>
            <w:tcBorders>
              <w:top w:val="nil"/>
              <w:left w:val="nil"/>
              <w:bottom w:val="single" w:sz="12" w:space="0" w:color="auto"/>
              <w:right w:val="nil"/>
            </w:tcBorders>
            <w:noWrap/>
            <w:vAlign w:val="center"/>
            <w:hideMark/>
          </w:tcPr>
          <w:p w14:paraId="0B354E44"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c>
          <w:tcPr>
            <w:tcW w:w="1156" w:type="pct"/>
            <w:tcBorders>
              <w:top w:val="nil"/>
              <w:left w:val="nil"/>
              <w:bottom w:val="single" w:sz="12" w:space="0" w:color="auto"/>
              <w:right w:val="nil"/>
            </w:tcBorders>
            <w:noWrap/>
            <w:vAlign w:val="center"/>
            <w:hideMark/>
          </w:tcPr>
          <w:p w14:paraId="17084CEA" w14:textId="77777777" w:rsidR="00AC019B" w:rsidRPr="001127A1" w:rsidRDefault="00AC019B" w:rsidP="00FC37A0">
            <w:pPr>
              <w:spacing w:after="0"/>
              <w:jc w:val="center"/>
              <w:rPr>
                <w:rFonts w:asciiTheme="minorHAnsi" w:eastAsia="Times New Roman" w:hAnsiTheme="minorHAnsi" w:cstheme="minorHAnsi"/>
                <w:color w:val="000000"/>
                <w:sz w:val="18"/>
                <w:szCs w:val="18"/>
                <w:lang w:val="en-US"/>
              </w:rPr>
            </w:pPr>
            <w:r w:rsidRPr="001127A1">
              <w:rPr>
                <w:rFonts w:asciiTheme="minorHAnsi" w:eastAsia="Times New Roman" w:hAnsiTheme="minorHAnsi" w:cstheme="minorHAnsi"/>
                <w:color w:val="000000"/>
                <w:sz w:val="18"/>
                <w:szCs w:val="18"/>
                <w:lang w:val="en-US"/>
              </w:rPr>
              <w:t>yes</w:t>
            </w:r>
          </w:p>
        </w:tc>
      </w:tr>
    </w:tbl>
    <w:p w14:paraId="249A8F0E" w14:textId="41C8AF49" w:rsidR="00B747AE" w:rsidRPr="004216FB" w:rsidRDefault="00AC019B" w:rsidP="00FC37A0">
      <w:pPr>
        <w:spacing w:before="120"/>
        <w:rPr>
          <w:lang w:val="en-US"/>
        </w:rPr>
      </w:pPr>
      <w:r w:rsidRPr="001127A1">
        <w:rPr>
          <w:lang w:val="en-US"/>
        </w:rPr>
        <w:t>β_main/</w:t>
      </w:r>
      <w:proofErr w:type="spellStart"/>
      <w:r w:rsidRPr="001127A1">
        <w:rPr>
          <w:i/>
          <w:lang w:val="en-US"/>
        </w:rPr>
        <w:t>p</w:t>
      </w:r>
      <w:r w:rsidRPr="001127A1">
        <w:rPr>
          <w:lang w:val="en-US"/>
        </w:rPr>
        <w:t>_main</w:t>
      </w:r>
      <w:proofErr w:type="spellEnd"/>
      <w:r w:rsidRPr="001127A1">
        <w:rPr>
          <w:lang w:val="en-US"/>
        </w:rPr>
        <w:t xml:space="preserve"> = primary model; β_</w:t>
      </w:r>
      <w:proofErr w:type="spellStart"/>
      <w:r w:rsidRPr="001127A1">
        <w:rPr>
          <w:lang w:val="en-US"/>
        </w:rPr>
        <w:t>sens</w:t>
      </w:r>
      <w:proofErr w:type="spellEnd"/>
      <w:r w:rsidRPr="001127A1">
        <w:rPr>
          <w:lang w:val="en-US"/>
        </w:rPr>
        <w:t>/</w:t>
      </w:r>
      <w:proofErr w:type="spellStart"/>
      <w:r w:rsidRPr="001127A1">
        <w:rPr>
          <w:i/>
          <w:lang w:val="en-US"/>
        </w:rPr>
        <w:t>p</w:t>
      </w:r>
      <w:r w:rsidRPr="001127A1">
        <w:rPr>
          <w:lang w:val="en-US"/>
        </w:rPr>
        <w:t>_sens</w:t>
      </w:r>
      <w:proofErr w:type="spellEnd"/>
      <w:r w:rsidRPr="001127A1">
        <w:rPr>
          <w:lang w:val="en-US"/>
        </w:rPr>
        <w:t xml:space="preserve"> = fully adjusted model (Age, Sex, Drugs-PC1, CAD, MVD/AVD). abs_log</w:t>
      </w:r>
      <w:r w:rsidRPr="001127A1">
        <w:rPr>
          <w:vertAlign w:val="subscript"/>
          <w:lang w:val="en-US"/>
        </w:rPr>
        <w:t>2</w:t>
      </w:r>
      <w:r w:rsidRPr="001127A1">
        <w:rPr>
          <w:lang w:val="en-US"/>
        </w:rPr>
        <w:t>FC_fdr_* indicates proteins meeting FDR &lt; 0.05 and |log</w:t>
      </w:r>
      <w:r w:rsidRPr="001127A1">
        <w:rPr>
          <w:vertAlign w:val="subscript"/>
          <w:lang w:val="en-US"/>
        </w:rPr>
        <w:t>2</w:t>
      </w:r>
      <w:r w:rsidRPr="001127A1">
        <w:rPr>
          <w:lang w:val="en-US"/>
        </w:rPr>
        <w:t>FC| &gt; 0.58 in that analysis.</w:t>
      </w:r>
      <w:r w:rsidR="004216FB">
        <w:rPr>
          <w:lang w:val="en-US"/>
        </w:rPr>
        <w:br w:type="page"/>
      </w:r>
    </w:p>
    <w:p w14:paraId="40C0186D" w14:textId="6951E62F" w:rsidR="006264FB" w:rsidRPr="00850718" w:rsidRDefault="006264FB" w:rsidP="00850718">
      <w:pPr>
        <w:pStyle w:val="Heading1"/>
        <w:shd w:val="clear" w:color="auto" w:fill="FFFFFF" w:themeFill="background1"/>
        <w:rPr>
          <w:rFonts w:ascii="Calibri" w:hAnsi="Calibri" w:cs="Calibri"/>
          <w:sz w:val="32"/>
          <w:lang w:val="en-US"/>
        </w:rPr>
      </w:pPr>
      <w:bookmarkStart w:id="19" w:name="_Toc218605969"/>
      <w:r w:rsidRPr="00850718">
        <w:rPr>
          <w:rFonts w:ascii="Calibri" w:hAnsi="Calibri" w:cs="Calibri"/>
          <w:sz w:val="32"/>
          <w:lang w:val="en-US"/>
        </w:rPr>
        <w:lastRenderedPageBreak/>
        <w:t>Supplemental Results</w:t>
      </w:r>
      <w:bookmarkEnd w:id="19"/>
    </w:p>
    <w:p w14:paraId="150153DD" w14:textId="77777777" w:rsidR="006264FB" w:rsidRPr="00850718" w:rsidRDefault="006264FB" w:rsidP="00850718">
      <w:pPr>
        <w:keepNext/>
        <w:keepLines/>
        <w:shd w:val="clear" w:color="auto" w:fill="FFFFFF" w:themeFill="background1"/>
        <w:spacing w:before="240" w:after="0"/>
        <w:outlineLvl w:val="1"/>
        <w:rPr>
          <w:rFonts w:asciiTheme="majorHAnsi" w:eastAsiaTheme="majorEastAsia" w:hAnsiTheme="majorHAnsi" w:cstheme="majorBidi"/>
          <w:b/>
          <w:i/>
          <w:color w:val="000000" w:themeColor="text1"/>
          <w:sz w:val="24"/>
          <w:szCs w:val="26"/>
          <w:lang w:val="en-US"/>
        </w:rPr>
      </w:pPr>
      <w:bookmarkStart w:id="20" w:name="_Toc218605970"/>
      <w:r w:rsidRPr="00850718">
        <w:rPr>
          <w:rFonts w:asciiTheme="majorHAnsi" w:eastAsiaTheme="majorEastAsia" w:hAnsiTheme="majorHAnsi" w:cstheme="majorBidi"/>
          <w:b/>
          <w:i/>
          <w:color w:val="000000" w:themeColor="text1"/>
          <w:sz w:val="24"/>
          <w:szCs w:val="26"/>
          <w:lang w:val="en-US"/>
        </w:rPr>
        <w:t>Generation of a Deep Spectral Library of the Human Cardiac Proteome</w:t>
      </w:r>
      <w:bookmarkEnd w:id="20"/>
    </w:p>
    <w:p w14:paraId="6EFB1275" w14:textId="3E6109AE" w:rsidR="006264FB" w:rsidRPr="00850718" w:rsidRDefault="006264FB" w:rsidP="00850718">
      <w:pPr>
        <w:shd w:val="clear" w:color="auto" w:fill="FFFFFF" w:themeFill="background1"/>
        <w:jc w:val="both"/>
        <w:rPr>
          <w:rFonts w:eastAsiaTheme="majorEastAsia" w:cs="Calibri"/>
          <w:color w:val="000000" w:themeColor="text1"/>
          <w:sz w:val="24"/>
          <w:szCs w:val="26"/>
          <w:lang w:val="en-US"/>
        </w:rPr>
      </w:pPr>
      <w:r w:rsidRPr="00850718">
        <w:rPr>
          <w:sz w:val="24"/>
          <w:szCs w:val="24"/>
          <w:lang w:val="en-US"/>
        </w:rPr>
        <w:t>We generated</w:t>
      </w:r>
      <w:r w:rsidRPr="00850718">
        <w:rPr>
          <w:rFonts w:eastAsiaTheme="majorEastAsia" w:cs="Calibri"/>
          <w:b/>
          <w:color w:val="000000" w:themeColor="text1"/>
          <w:sz w:val="24"/>
          <w:szCs w:val="26"/>
          <w:lang w:val="en-US"/>
        </w:rPr>
        <w:t xml:space="preserve"> </w:t>
      </w:r>
      <w:r w:rsidR="00DE0D07" w:rsidRPr="00850718">
        <w:rPr>
          <w:rFonts w:eastAsiaTheme="majorEastAsia" w:cs="Calibri"/>
          <w:color w:val="000000" w:themeColor="text1"/>
          <w:sz w:val="24"/>
          <w:szCs w:val="26"/>
          <w:lang w:val="en-US"/>
        </w:rPr>
        <w:t>an annotated</w:t>
      </w:r>
      <w:r w:rsidRPr="00850718">
        <w:rPr>
          <w:rFonts w:eastAsiaTheme="majorEastAsia" w:cs="Calibri"/>
          <w:color w:val="000000" w:themeColor="text1"/>
          <w:sz w:val="24"/>
          <w:szCs w:val="26"/>
          <w:lang w:val="en-US"/>
        </w:rPr>
        <w:t xml:space="preserve"> tandem mass spectrometry (MS/MS) spectral library from RA, LA, RV, LV and septum</w:t>
      </w:r>
      <w:r w:rsidR="00DE0D07" w:rsidRPr="00850718">
        <w:rPr>
          <w:rFonts w:eastAsiaTheme="majorEastAsia" w:cs="Calibri"/>
          <w:color w:val="000000" w:themeColor="text1"/>
          <w:sz w:val="24"/>
          <w:szCs w:val="26"/>
          <w:lang w:val="en-US"/>
        </w:rPr>
        <w:t xml:space="preserve"> samples</w:t>
      </w:r>
      <w:r w:rsidRPr="00850718">
        <w:rPr>
          <w:rFonts w:eastAsiaTheme="majorEastAsia" w:cs="Calibri"/>
          <w:color w:val="000000" w:themeColor="text1"/>
          <w:sz w:val="24"/>
          <w:szCs w:val="26"/>
          <w:lang w:val="en-US"/>
        </w:rPr>
        <w:t xml:space="preserve">. To minimize sampling effects, material from three individual, randomly chosen pieces of tissue per cavity was lysed and </w:t>
      </w:r>
      <w:proofErr w:type="spellStart"/>
      <w:r w:rsidRPr="00850718">
        <w:rPr>
          <w:rFonts w:eastAsiaTheme="majorEastAsia" w:cs="Calibri"/>
          <w:color w:val="000000" w:themeColor="text1"/>
          <w:sz w:val="24"/>
          <w:szCs w:val="26"/>
          <w:lang w:val="en-US"/>
        </w:rPr>
        <w:t>tryptically</w:t>
      </w:r>
      <w:proofErr w:type="spellEnd"/>
      <w:r w:rsidRPr="00850718">
        <w:rPr>
          <w:rFonts w:eastAsiaTheme="majorEastAsia" w:cs="Calibri"/>
          <w:color w:val="000000" w:themeColor="text1"/>
          <w:sz w:val="24"/>
          <w:szCs w:val="26"/>
          <w:lang w:val="en-US"/>
        </w:rPr>
        <w:t xml:space="preserve"> digested separately, then pooled at the tryptic peptide level for further analysis. Each peptide pool was fractionated into 20 fractions using a staggered pooling scheme and analyzed by DDA-MS in triplicate to achieve comprehensive sampling. From the combined DDA-MS data, an annotated spectral library was generated that encompassed data on 9,159 non-redundant protein groups representing 13,539 proteins from the </w:t>
      </w:r>
      <w:proofErr w:type="spellStart"/>
      <w:r w:rsidRPr="00850718">
        <w:rPr>
          <w:rFonts w:eastAsiaTheme="majorEastAsia" w:cs="Calibri"/>
          <w:color w:val="000000" w:themeColor="text1"/>
          <w:sz w:val="24"/>
          <w:szCs w:val="26"/>
          <w:lang w:val="en-US"/>
        </w:rPr>
        <w:t>UniProtKB</w:t>
      </w:r>
      <w:proofErr w:type="spellEnd"/>
      <w:r w:rsidRPr="00850718">
        <w:rPr>
          <w:rFonts w:eastAsiaTheme="majorEastAsia" w:cs="Calibri"/>
          <w:color w:val="000000" w:themeColor="text1"/>
          <w:sz w:val="24"/>
          <w:szCs w:val="26"/>
          <w:lang w:val="en-US"/>
        </w:rPr>
        <w:t xml:space="preserve"> database, evidenced by 111,772 peptide sequences of which 40,537 are classified as </w:t>
      </w:r>
      <w:proofErr w:type="spellStart"/>
      <w:r w:rsidRPr="00850718">
        <w:rPr>
          <w:rFonts w:eastAsiaTheme="majorEastAsia" w:cs="Calibri"/>
          <w:color w:val="000000" w:themeColor="text1"/>
          <w:sz w:val="24"/>
          <w:szCs w:val="26"/>
          <w:lang w:val="en-US"/>
        </w:rPr>
        <w:t>proteotypic</w:t>
      </w:r>
      <w:proofErr w:type="spellEnd"/>
      <w:r w:rsidRPr="00850718">
        <w:rPr>
          <w:rFonts w:eastAsiaTheme="majorEastAsia" w:cs="Calibri"/>
          <w:color w:val="000000" w:themeColor="text1"/>
          <w:sz w:val="24"/>
          <w:szCs w:val="26"/>
          <w:lang w:val="en-US"/>
        </w:rPr>
        <w:t xml:space="preserve"> (Fig. S</w:t>
      </w:r>
      <w:r w:rsidR="00247847" w:rsidRPr="00850718">
        <w:rPr>
          <w:rFonts w:eastAsiaTheme="majorEastAsia" w:cs="Calibri"/>
          <w:color w:val="000000" w:themeColor="text1"/>
          <w:sz w:val="24"/>
          <w:szCs w:val="26"/>
          <w:lang w:val="en-US"/>
        </w:rPr>
        <w:t>2</w:t>
      </w:r>
      <w:r w:rsidRPr="00850718">
        <w:rPr>
          <w:rFonts w:eastAsiaTheme="majorEastAsia" w:cs="Calibri"/>
          <w:color w:val="000000" w:themeColor="text1"/>
          <w:sz w:val="24"/>
          <w:szCs w:val="26"/>
          <w:lang w:val="en-US"/>
        </w:rPr>
        <w:t>A)</w:t>
      </w:r>
      <w:r w:rsidRPr="00850718">
        <w:rPr>
          <w:rFonts w:eastAsiaTheme="majorEastAsia" w:cs="Calibri"/>
          <w:color w:val="000000" w:themeColor="text1"/>
          <w:sz w:val="24"/>
          <w:szCs w:val="26"/>
          <w:lang w:val="en-US"/>
        </w:rPr>
        <w:fldChar w:fldCharType="begin" w:fldLock="1"/>
      </w:r>
      <w:r w:rsidR="00915045" w:rsidRPr="00850718">
        <w:rPr>
          <w:rFonts w:eastAsiaTheme="majorEastAsia" w:cs="Calibri"/>
          <w:color w:val="000000" w:themeColor="text1"/>
          <w:sz w:val="24"/>
          <w:szCs w:val="26"/>
          <w:lang w:val="en-US"/>
        </w:rPr>
        <w:instrText>ADDIN CSL_CITATION {"citationItems":[{"id":"ITEM-1","itemData":{"DOI":"10.1038/nbt1275","ISSN":"10870156","abstract":"Mass spectrometry-based quantitative proteomics has become an important component of biological and clinical research. Although such analyses typically assume that a protein's peptide fragments are observed with equal likelihood, only a few so-called 'proteotypic' peptides are repeatedly and consistently identified for any given protein present in a mixture. Using &gt;600,000 peptide identifications generated by four proteomic platforms, we empirically identified &gt;16,000 proteotypic peptides for 4,030 distinct yeast proteins. Characteristic physicochemical properties of these peptides were used to develop a computational tool that can predict proteotypic peptides for any protein from any organism, for a given platform, with &gt;85% cumulative accuracy. Possible applications of proteotypic peptides include validation of protein identifications, absolute quantification of proteins, annotation of coding sequences in genomes, and characterization of the physical principles governing key elements of mass spectrometric workflows (e.g., digestion, chromatography, ionization and fragmentation). © 2007 Nature Publishing Group.","author":[{"dropping-particle":"","family":"Mallick","given":"Parag","non-dropping-particle":"","parse-names":false,"suffix":""},{"dropping-particle":"","family":"Schirle","given":"Markus","non-dropping-particle":"","parse-names":false,"suffix":""},{"dropping-particle":"","family":"Chen","given":"Sharon S.","non-dropping-particle":"","parse-names":false,"suffix":""},{"dropping-particle":"","family":"Flory","given":"Mark R.","non-dropping-particle":"","parse-names":false,"suffix":""},{"dropping-particle":"","family":"Lee","given":"Hookeun","non-dropping-particle":"","parse-names":false,"suffix":""},{"dropping-particle":"","family":"Martin","given":"Daniel","non-dropping-particle":"","parse-names":false,"suffix":""},{"dropping-particle":"","family":"Ranish","given":"Jeffrey","non-dropping-particle":"","parse-names":false,"suffix":""},{"dropping-particle":"","family":"Raught","given":"Brian","non-dropping-particle":"","parse-names":false,"suffix":""},{"dropping-particle":"","family":"Schmitt","given":"Robert","non-dropping-particle":"","parse-names":false,"suffix":""},{"dropping-particle":"","family":"Werner","given":"Thilo","non-dropping-particle":"","parse-names":false,"suffix":""},{"dropping-particle":"","family":"Kuster","given":"Bernhard","non-dropping-particle":"","parse-names":false,"suffix":""},{"dropping-particle":"","family":"Aebersold","given":"Ruedi","non-dropping-particle":"","parse-names":false,"suffix":""}],"container-title":"Nature Biotechnology","id":"ITEM-1","issue":"1","issued":{"date-parts":[["2007"]]},"title":"Computational prediction of proteotypic peptides for quantitative proteomics","type":"article-journal","volume":"25"},"uris":["http://www.mendeley.com/documents/?uuid=9f779849-f51e-374d-95aa-44ad46d21364"]}],"mendeley":{"formattedCitation":"&lt;sup&gt;18&lt;/sup&gt;","plainTextFormattedCitation":"18","previouslyFormattedCitation":"&lt;sup&gt;18&lt;/sup&gt;"},"properties":{"noteIndex":0},"schema":"https://github.com/citation-style-language/schema/raw/master/csl-citation.json"}</w:instrText>
      </w:r>
      <w:r w:rsidRPr="00850718">
        <w:rPr>
          <w:rFonts w:eastAsiaTheme="majorEastAsia" w:cs="Calibri"/>
          <w:color w:val="000000" w:themeColor="text1"/>
          <w:sz w:val="24"/>
          <w:szCs w:val="26"/>
          <w:lang w:val="en-US"/>
        </w:rPr>
        <w:fldChar w:fldCharType="separate"/>
      </w:r>
      <w:r w:rsidR="00D0477F" w:rsidRPr="00850718">
        <w:rPr>
          <w:rFonts w:eastAsiaTheme="majorEastAsia" w:cs="Calibri"/>
          <w:noProof/>
          <w:color w:val="000000" w:themeColor="text1"/>
          <w:sz w:val="24"/>
          <w:szCs w:val="26"/>
          <w:vertAlign w:val="superscript"/>
          <w:lang w:val="en-US"/>
        </w:rPr>
        <w:t>18</w:t>
      </w:r>
      <w:r w:rsidRPr="00850718">
        <w:rPr>
          <w:rFonts w:eastAsiaTheme="majorEastAsia" w:cs="Calibri"/>
          <w:color w:val="000000" w:themeColor="text1"/>
          <w:sz w:val="24"/>
          <w:szCs w:val="26"/>
          <w:lang w:val="en-US"/>
        </w:rPr>
        <w:fldChar w:fldCharType="end"/>
      </w:r>
      <w:r w:rsidRPr="00850718">
        <w:rPr>
          <w:rFonts w:eastAsiaTheme="majorEastAsia" w:cs="Calibri"/>
          <w:color w:val="000000" w:themeColor="text1"/>
          <w:sz w:val="24"/>
          <w:szCs w:val="26"/>
          <w:lang w:val="en-US"/>
        </w:rPr>
        <w:t>. Of note, peptides are not only characterized by their MS/MS data, but also by their indexed retention time (Fig. S</w:t>
      </w:r>
      <w:r w:rsidR="00247847" w:rsidRPr="00850718">
        <w:rPr>
          <w:rFonts w:eastAsiaTheme="majorEastAsia" w:cs="Calibri"/>
          <w:color w:val="000000" w:themeColor="text1"/>
          <w:sz w:val="24"/>
          <w:szCs w:val="26"/>
          <w:lang w:val="en-US"/>
        </w:rPr>
        <w:t>2</w:t>
      </w:r>
      <w:r w:rsidRPr="00850718">
        <w:rPr>
          <w:rFonts w:eastAsiaTheme="majorEastAsia" w:cs="Calibri"/>
          <w:color w:val="000000" w:themeColor="text1"/>
          <w:sz w:val="24"/>
          <w:szCs w:val="26"/>
          <w:lang w:val="en-US"/>
        </w:rPr>
        <w:t>B)</w:t>
      </w:r>
      <w:r w:rsidRPr="00850718">
        <w:rPr>
          <w:rFonts w:eastAsiaTheme="majorEastAsia" w:cs="Calibri"/>
          <w:color w:val="000000" w:themeColor="text1"/>
          <w:sz w:val="24"/>
          <w:szCs w:val="26"/>
          <w:lang w:val="en-US"/>
        </w:rPr>
        <w:fldChar w:fldCharType="begin" w:fldLock="1"/>
      </w:r>
      <w:r w:rsidR="00915045" w:rsidRPr="00850718">
        <w:rPr>
          <w:rFonts w:eastAsiaTheme="majorEastAsia" w:cs="Calibri"/>
          <w:color w:val="000000" w:themeColor="text1"/>
          <w:sz w:val="24"/>
          <w:szCs w:val="26"/>
          <w:lang w:val="en-US"/>
        </w:rPr>
        <w:instrText>ADDIN CSL_CITATION {"citationItems":[{"id":"ITEM-1","itemData":{"DOI":"10.1002/pmic.201500488","ISSN":"16159861","abstract":"Targeted analysis of data-independent acquisition (DIA) data is a powerful mass spectrometric approach for comprehensive, reproducible and precise proteome quantitation. It requires a spectral library, which contains for all considered peptide precursor ions empirically determined fragment ion intensities and their predicted retention time (RT). RTs, however, are not comparable on an absolute scale, especially if heterogeneous measurements are combined. Here, we present a method for high-precision prediction of RT, which significantly improves the quality of targeted DIA analysis compared to in silico RT prediction and the state of the art indexed retention time (iRT) normalization approach. We describe a high-precision normalized RT algorithm, which is implemented in the Spectronaut software. We, furthermore, investigate the influence of nine different experimental factors, such as chromatographic mobile and stationary phase, on iRT precision. In summary, we show that using targeted analysis of DIA data with high-precision iRT significantly increases sensitivity and data quality. The iRT values are generally transferable across a wide range of experimental conditions. Best results, however, are achieved if library generation and analytical measurements are performed on the same system.","author":[{"dropping-particle":"","family":"Bruderer","given":"Roland","non-dropping-particle":"","parse-names":false,"suffix":""},{"dropping-particle":"","family":"Bernhardt","given":"Oliver M.","non-dropping-particle":"","parse-names":false,"suffix":""},{"dropping-particle":"","family":"Gandhi","given":"Tejas","non-dropping-particle":"","parse-names":false,"suffix":""},{"dropping-particle":"","family":"Reiter","given":"Lukas","non-dropping-particle":"","parse-names":false,"suffix":""}],"container-title":"Proteomics","id":"ITEM-1","issue":"15-16","issued":{"date-parts":[["2016"]]},"title":"High-precision iRT prediction in the targeted analysis of data-independent acquisition and its impact on identification and quantitation","type":"article-journal","volume":"16"},"uris":["http://www.mendeley.com/documents/?uuid=4056bbbc-7add-3fe2-bc51-317b2424ed0b"]}],"mendeley":{"formattedCitation":"&lt;sup&gt;19&lt;/sup&gt;","plainTextFormattedCitation":"19","previouslyFormattedCitation":"&lt;sup&gt;19&lt;/sup&gt;"},"properties":{"noteIndex":0},"schema":"https://github.com/citation-style-language/schema/raw/master/csl-citation.json"}</w:instrText>
      </w:r>
      <w:r w:rsidRPr="00850718">
        <w:rPr>
          <w:rFonts w:eastAsiaTheme="majorEastAsia" w:cs="Calibri"/>
          <w:color w:val="000000" w:themeColor="text1"/>
          <w:sz w:val="24"/>
          <w:szCs w:val="26"/>
          <w:lang w:val="en-US"/>
        </w:rPr>
        <w:fldChar w:fldCharType="separate"/>
      </w:r>
      <w:r w:rsidR="00D0477F" w:rsidRPr="00850718">
        <w:rPr>
          <w:rFonts w:eastAsiaTheme="majorEastAsia" w:cs="Calibri"/>
          <w:noProof/>
          <w:color w:val="000000" w:themeColor="text1"/>
          <w:sz w:val="24"/>
          <w:szCs w:val="26"/>
          <w:vertAlign w:val="superscript"/>
          <w:lang w:val="en-US"/>
        </w:rPr>
        <w:t>19</w:t>
      </w:r>
      <w:r w:rsidRPr="00850718">
        <w:rPr>
          <w:rFonts w:eastAsiaTheme="majorEastAsia" w:cs="Calibri"/>
          <w:color w:val="000000" w:themeColor="text1"/>
          <w:sz w:val="24"/>
          <w:szCs w:val="26"/>
          <w:lang w:val="en-US"/>
        </w:rPr>
        <w:fldChar w:fldCharType="end"/>
      </w:r>
      <w:r w:rsidRPr="00850718">
        <w:rPr>
          <w:rFonts w:eastAsiaTheme="majorEastAsia" w:cs="Calibri"/>
          <w:color w:val="000000" w:themeColor="text1"/>
          <w:sz w:val="24"/>
          <w:szCs w:val="26"/>
          <w:lang w:val="en-US"/>
        </w:rPr>
        <w:t xml:space="preserve"> and their inverse reduced ion mobility 1/K</w:t>
      </w:r>
      <w:r w:rsidRPr="00850718">
        <w:rPr>
          <w:rFonts w:eastAsiaTheme="majorEastAsia" w:cs="Calibri"/>
          <w:color w:val="000000" w:themeColor="text1"/>
          <w:sz w:val="24"/>
          <w:szCs w:val="26"/>
          <w:vertAlign w:val="subscript"/>
          <w:lang w:val="en-US"/>
        </w:rPr>
        <w:t>0</w:t>
      </w:r>
      <w:r w:rsidRPr="00850718">
        <w:rPr>
          <w:rFonts w:eastAsiaTheme="majorEastAsia" w:cs="Calibri"/>
          <w:color w:val="000000" w:themeColor="text1"/>
          <w:sz w:val="24"/>
          <w:szCs w:val="26"/>
          <w:lang w:val="en-US"/>
        </w:rPr>
        <w:t xml:space="preserve"> (Fig. S</w:t>
      </w:r>
      <w:r w:rsidR="00247847" w:rsidRPr="00850718">
        <w:rPr>
          <w:rFonts w:eastAsiaTheme="majorEastAsia" w:cs="Calibri"/>
          <w:color w:val="000000" w:themeColor="text1"/>
          <w:sz w:val="24"/>
          <w:szCs w:val="26"/>
          <w:lang w:val="en-US"/>
        </w:rPr>
        <w:t>2</w:t>
      </w:r>
      <w:r w:rsidRPr="00850718">
        <w:rPr>
          <w:rFonts w:eastAsiaTheme="majorEastAsia" w:cs="Calibri"/>
          <w:color w:val="000000" w:themeColor="text1"/>
          <w:sz w:val="24"/>
          <w:szCs w:val="26"/>
          <w:lang w:val="en-US"/>
        </w:rPr>
        <w:t xml:space="preserve">C) as a prerequisite for high-quality assignment in DIA-MS experiments. Peptide and protein identifications were transcribed into an annotated MS/MS spectral library. </w:t>
      </w:r>
    </w:p>
    <w:p w14:paraId="31001627" w14:textId="77777777" w:rsidR="006264FB" w:rsidRPr="00850718" w:rsidRDefault="006264FB" w:rsidP="00773C2B">
      <w:pPr>
        <w:pStyle w:val="Heading2"/>
        <w:rPr>
          <w:lang w:val="en-US"/>
        </w:rPr>
      </w:pPr>
      <w:bookmarkStart w:id="21" w:name="_Toc218605971"/>
      <w:r w:rsidRPr="00850718">
        <w:rPr>
          <w:lang w:val="en-US"/>
        </w:rPr>
        <w:t>Differential Proteome Profiling of Human Cardiac Biopsies</w:t>
      </w:r>
      <w:bookmarkEnd w:id="21"/>
    </w:p>
    <w:p w14:paraId="62285D95" w14:textId="19BC8D46" w:rsidR="007A3AF3" w:rsidRPr="00850718" w:rsidRDefault="006264FB" w:rsidP="00773C2B">
      <w:pPr>
        <w:jc w:val="both"/>
        <w:rPr>
          <w:sz w:val="24"/>
          <w:lang w:val="en-US"/>
        </w:rPr>
      </w:pPr>
      <w:r w:rsidRPr="00850718">
        <w:rPr>
          <w:sz w:val="24"/>
          <w:lang w:val="en-US"/>
        </w:rPr>
        <w:t xml:space="preserve">Next, </w:t>
      </w:r>
      <w:r w:rsidRPr="00850718">
        <w:rPr>
          <w:sz w:val="24"/>
          <w:shd w:val="clear" w:color="auto" w:fill="FFFFFF" w:themeFill="background1"/>
          <w:lang w:val="en-US"/>
        </w:rPr>
        <w:t xml:space="preserve">we used the </w:t>
      </w:r>
      <w:r w:rsidR="00DE0D07" w:rsidRPr="00850718">
        <w:rPr>
          <w:sz w:val="24"/>
          <w:shd w:val="clear" w:color="auto" w:fill="FFFFFF" w:themeFill="background1"/>
          <w:lang w:val="en-US"/>
        </w:rPr>
        <w:t xml:space="preserve">reference </w:t>
      </w:r>
      <w:r w:rsidRPr="00850718">
        <w:rPr>
          <w:sz w:val="24"/>
          <w:shd w:val="clear" w:color="auto" w:fill="FFFFFF" w:themeFill="background1"/>
          <w:lang w:val="en-US"/>
        </w:rPr>
        <w:t xml:space="preserve">MS/MS </w:t>
      </w:r>
      <w:r w:rsidR="00DE0D07" w:rsidRPr="00850718">
        <w:rPr>
          <w:sz w:val="24"/>
          <w:shd w:val="clear" w:color="auto" w:fill="FFFFFF" w:themeFill="background1"/>
          <w:lang w:val="en-US"/>
        </w:rPr>
        <w:t xml:space="preserve">spectral </w:t>
      </w:r>
      <w:r w:rsidRPr="00850718">
        <w:rPr>
          <w:sz w:val="24"/>
          <w:shd w:val="clear" w:color="auto" w:fill="FFFFFF" w:themeFill="background1"/>
          <w:lang w:val="en-US"/>
        </w:rPr>
        <w:t>library to extract quantitative peptide and protein information from single-shot DIA-MS. Using the library, we observed consistent detection of proteins across all injections (Figure S</w:t>
      </w:r>
      <w:r w:rsidR="00247847" w:rsidRPr="00850718">
        <w:rPr>
          <w:sz w:val="24"/>
          <w:shd w:val="clear" w:color="auto" w:fill="FFFFFF" w:themeFill="background1"/>
          <w:lang w:val="en-US"/>
        </w:rPr>
        <w:t>2</w:t>
      </w:r>
      <w:r w:rsidRPr="00850718">
        <w:rPr>
          <w:sz w:val="24"/>
          <w:shd w:val="clear" w:color="auto" w:fill="FFFFFF" w:themeFill="background1"/>
          <w:lang w:val="en-US"/>
        </w:rPr>
        <w:t>D). Following quantitative normalization and outlier identification based on sample input amounts and technical fitness, we obtained a highly consistent data matrix across 121 inje</w:t>
      </w:r>
      <w:r w:rsidRPr="00850718">
        <w:rPr>
          <w:sz w:val="24"/>
          <w:lang w:val="en-US"/>
        </w:rPr>
        <w:t xml:space="preserve">ctions </w:t>
      </w:r>
      <w:r w:rsidRPr="00850718">
        <w:rPr>
          <w:color w:val="000000" w:themeColor="text1"/>
          <w:sz w:val="24"/>
          <w:lang w:val="en-US"/>
        </w:rPr>
        <w:t xml:space="preserve">representing 55 </w:t>
      </w:r>
      <w:r w:rsidRPr="00850718">
        <w:rPr>
          <w:sz w:val="24"/>
          <w:lang w:val="en-US"/>
        </w:rPr>
        <w:t xml:space="preserve">individual samples. </w:t>
      </w:r>
    </w:p>
    <w:p w14:paraId="4320A329" w14:textId="700462D7" w:rsidR="007A3AF3" w:rsidRPr="00850718" w:rsidRDefault="007A3AF3" w:rsidP="00773C2B">
      <w:pPr>
        <w:jc w:val="both"/>
        <w:rPr>
          <w:sz w:val="24"/>
          <w:lang w:val="en-US"/>
        </w:rPr>
      </w:pPr>
      <w:r w:rsidRPr="00850718">
        <w:rPr>
          <w:sz w:val="24"/>
          <w:lang w:val="en-US"/>
        </w:rPr>
        <w:t>In the full dataset, the median number of identified protein groups was 5,984, with a standard deviation of 195 (3.3%) and a range of 5,222 to 6,303 (data not shown). When stratified by experimental groups, the values remained similarly consistent: in LA-SR samples, the median was 5,963 with a standard deviation of 263 (4.5%) and a range of 5,222 to 6,176; in LA-</w:t>
      </w:r>
      <w:proofErr w:type="spellStart"/>
      <w:r w:rsidRPr="00850718">
        <w:rPr>
          <w:sz w:val="24"/>
          <w:lang w:val="en-US"/>
        </w:rPr>
        <w:t>persAF</w:t>
      </w:r>
      <w:proofErr w:type="spellEnd"/>
      <w:r w:rsidRPr="00850718">
        <w:rPr>
          <w:sz w:val="24"/>
          <w:lang w:val="en-US"/>
        </w:rPr>
        <w:t>, the median was 5,891 with a standard deviation of 122 (2.1%) and a range of 5,609 to 6,050; in RA-SR, the median was 5,868 with a standard deviation of 168 (2.9%) and a range of 5,320 to 6,303; and in RA-</w:t>
      </w:r>
      <w:proofErr w:type="spellStart"/>
      <w:r w:rsidRPr="00850718">
        <w:rPr>
          <w:sz w:val="24"/>
          <w:lang w:val="en-US"/>
        </w:rPr>
        <w:t>persAF</w:t>
      </w:r>
      <w:proofErr w:type="spellEnd"/>
      <w:r w:rsidRPr="00850718">
        <w:rPr>
          <w:sz w:val="24"/>
          <w:lang w:val="en-US"/>
        </w:rPr>
        <w:t>, the median was 5,993 with a standard deviation of 110 (1.8%) and a range of 5,774 to 6,170. These values confirm robust and reproducible protein detection across both atrial chambers and rhythm conditions.</w:t>
      </w:r>
    </w:p>
    <w:p w14:paraId="5331451D" w14:textId="250810B9" w:rsidR="006264FB" w:rsidRPr="00850718" w:rsidRDefault="006264FB" w:rsidP="00B6551F">
      <w:pPr>
        <w:shd w:val="clear" w:color="auto" w:fill="FFFFFF" w:themeFill="background1"/>
        <w:jc w:val="both"/>
        <w:rPr>
          <w:sz w:val="24"/>
          <w:lang w:val="en-US"/>
        </w:rPr>
      </w:pPr>
      <w:r w:rsidRPr="00850718">
        <w:rPr>
          <w:sz w:val="24"/>
          <w:lang w:val="en-US"/>
        </w:rPr>
        <w:lastRenderedPageBreak/>
        <w:t>Analysis of quantitative variability between samples in each experimental group exhibited excellent reproducibility, with median in-group coefficient of variation (CV) ranging from 14.2% to 20.1% (Fig. S</w:t>
      </w:r>
      <w:r w:rsidR="00247847" w:rsidRPr="00850718">
        <w:rPr>
          <w:sz w:val="24"/>
          <w:lang w:val="en-US"/>
        </w:rPr>
        <w:t>2</w:t>
      </w:r>
      <w:r w:rsidRPr="00850718">
        <w:rPr>
          <w:sz w:val="24"/>
          <w:lang w:val="en-US"/>
        </w:rPr>
        <w:t>E).</w:t>
      </w:r>
      <w:r w:rsidR="00F46112" w:rsidRPr="00850718">
        <w:rPr>
          <w:sz w:val="24"/>
          <w:lang w:val="en-US"/>
        </w:rPr>
        <w:t xml:space="preserve"> </w:t>
      </w:r>
    </w:p>
    <w:p w14:paraId="41765C74" w14:textId="610851EE" w:rsidR="009A63C2" w:rsidRDefault="00406A5A" w:rsidP="00B6551F">
      <w:pPr>
        <w:shd w:val="clear" w:color="auto" w:fill="FFFFFF" w:themeFill="background1"/>
        <w:jc w:val="both"/>
        <w:rPr>
          <w:sz w:val="24"/>
          <w:lang w:val="en-US"/>
        </w:rPr>
      </w:pPr>
      <w:r w:rsidRPr="00850718">
        <w:rPr>
          <w:sz w:val="24"/>
          <w:lang w:val="en-US"/>
        </w:rPr>
        <w:t xml:space="preserve">To evaluate whether our spectral library (generated from non-failing donor hearts) is suitable to capture </w:t>
      </w:r>
      <w:proofErr w:type="spellStart"/>
      <w:r w:rsidRPr="00850718">
        <w:rPr>
          <w:sz w:val="24"/>
          <w:lang w:val="en-US"/>
        </w:rPr>
        <w:t>persAF</w:t>
      </w:r>
      <w:proofErr w:type="spellEnd"/>
      <w:r w:rsidRPr="00850718">
        <w:rPr>
          <w:sz w:val="24"/>
          <w:lang w:val="en-US"/>
        </w:rPr>
        <w:t xml:space="preserve">-specific proteins, we compared our data set to a set of 30 core </w:t>
      </w:r>
      <w:proofErr w:type="spellStart"/>
      <w:r w:rsidRPr="00850718">
        <w:rPr>
          <w:sz w:val="24"/>
          <w:lang w:val="en-US"/>
        </w:rPr>
        <w:t>persAF</w:t>
      </w:r>
      <w:proofErr w:type="spellEnd"/>
      <w:r w:rsidRPr="00850718">
        <w:rPr>
          <w:sz w:val="24"/>
          <w:lang w:val="en-US"/>
        </w:rPr>
        <w:t xml:space="preserve"> markers consistently identified in two independent proteomic studies</w:t>
      </w:r>
      <w:r w:rsidRPr="00850718">
        <w:rPr>
          <w:sz w:val="24"/>
          <w:lang w:val="en-US"/>
        </w:rPr>
        <w:fldChar w:fldCharType="begin" w:fldLock="1"/>
      </w:r>
      <w:r w:rsidRPr="00850718">
        <w:rPr>
          <w:sz w:val="24"/>
          <w:lang w:val="en-US"/>
        </w:rPr>
        <w:instrText>ADDIN CSL_CITATION {"citationItems":[{"id":"ITEM-1","itemData":{"DOI":"10.1038/s41467-017-01747-2","ISSN":"20411723","abstract":"The heart is a central human organ and its diseases are the leading cause of death worldwide, but an in-depth knowledge of the identity and quantity of its constituent proteins is still lacking. Here, we determine the healthy human heart proteome by measuring 16 anatomical regions and three major cardiac cell types by high-resolution mass spectrometry-based proteomics. From low microgram sample amounts, we quantify over 10,700 proteins in this high dynamic range tissue. We combine copy numbers per cell with protein organellar assignments to build a model of the heart proteome at the subcellular level. Analysis of cardiac fibroblasts identifies cellular receptors as potential cell surface markers. Application of our heart map to atrial fibrillation reveals individually distinct mitochondrial dysfunctions. The heart map is available at maxqb.biochem.mpg.de as a resource for future analyses of normal heart function and disease.","author":[{"dropping-particle":"","family":"Doll","given":"Sophia","non-dropping-particle":"","parse-names":false,"suffix":""},{"dropping-particle":"","family":"Dreßen","given":"Martina","non-dropping-particle":"","parse-names":false,"suffix":""},{"dropping-particle":"","family":"Geyer","given":"Philipp E.","non-dropping-particle":"","parse-names":false,"suffix":""},{"dropping-particle":"","family":"Itzhak","given":"Daniel N.","non-dropping-particle":"","parse-names":false,"suffix":""},{"dropping-particle":"","family":"Braun","given":"Christian","non-dropping-particle":"","parse-names":false,"suffix":""},{"dropping-particle":"","family":"Doppler","given":"Stefanie A.","non-dropping-particle":"","parse-names":false,"suffix":""},{"dropping-particle":"","family":"Meier","given":"Florian","non-dropping-particle":"","parse-names":false,"suffix":""},{"dropping-particle":"","family":"Deutsch","given":"Marcus Andre","non-dropping-particle":"","parse-names":false,"suffix":""},{"dropping-particle":"","family":"Lahm","given":"Harald","non-dropping-particle":"","parse-names":false,"suffix":""},{"dropping-particle":"","family":"Lange","given":"Rüdiger","non-dropping-particle":"","parse-names":false,"suffix":""},{"dropping-particle":"","family":"Krane","given":"Markus","non-dropping-particle":"","parse-names":false,"suffix":""},{"dropping-particle":"","family":"Mann","given":"Matthias","non-dropping-particle":"","parse-names":false,"suffix":""}],"container-title":"Nature Communications","id":"ITEM-1","issue":"1","issued":{"date-parts":[["2017"]]},"title":"Region and cell-type resolved quantitative proteomic map of the human heart","type":"article-journal","volume":"8"},"uris":["http://www.mendeley.com/documents/?uuid=af5bfa9a-22b9-3e1d-bf0f-714e9789938e"]},{"id":"ITEM-2","itemData":{"DOI":"10.1007/s00424-021-02514-5","ISSN":"14322013","abstract":"Atrial fibrillation (AF) is strongly associated with risk of stroke and heart failure. AF promotes atrial remodeling that increases risk of stroke due to left atrial thrombogenesis, and increases energy demand to support high rate electrical activity and muscle contraction. While many transcriptomic studies have assessed AF-related changes in mRNA abundance, fewer studies have assessed proteomic changes. We performed a proteomic analysis on left atrial appendage (LAA) tissues from 12 patients with a history of AF undergoing elective surgery; atrial rhythm was documented at time of surgery. Proteomic analysis was performed using liquid chromatography with mass spectrometry (LC/MS-MS). Data-dependent analysis identified 3090 unique proteins, with 408 differentially expressed between sinus rhythm and AF. Ingenuity Pathway Analysis of differentially expressed proteins identified mitochondrial dysfunction, oxidative phosphorylation, and sirtuin signaling among the most affected pathways. Increased abundance of electron transport chain (ETC) proteins in AF was accompanied by decreased expression of ETC complex assembly factors, tricarboxylic acid cycle proteins, and other key metabolic modulators. Discordant changes were also evident in the contractile unit with both up and downregulation of key components. Similar pathways were affected in a comparison of patients with a history of persistent vs. paroxysmal AF, presenting for surgery in sinus rhythm. Together, these data suggest that while the LAA attempts to meet the energetic demands of AF, an uncoordinated response may reduce ATP availability, contribute to tissue contractile and electrophysiologic heterogeneity, and promote a progression of AF from paroxysmal episodes to development of a substrate amenable to persistent arrhythmia.","author":[{"dropping-particle":"","family":"Rennison","given":"Julie H.","non-dropping-particle":"","parse-names":false,"suffix":""},{"dropping-particle":"","family":"Li","given":"Ling","non-dropping-particle":"","parse-names":false,"suffix":""},{"dropping-particle":"","family":"Lin","given":"Cheryl R.","non-dropping-particle":"","parse-names":false,"suffix":""},{"dropping-particle":"","family":"Lovano","given":"Beth S.","non-dropping-particle":"","parse-names":false,"suffix":""},{"dropping-particle":"","family":"Castel","given":"Laurie","non-dropping-particle":"","parse-names":false,"suffix":""},{"dropping-particle":"","family":"Wass","given":"Sojin Youn","non-dropping-particle":"","parse-names":false,"suffix":""},{"dropping-particle":"","family":"Cantlay","given":"Catherine C.","non-dropping-particle":"","parse-names":false,"suffix":""},{"dropping-particle":"","family":"McHale","given":"Meghan","non-dropping-particle":"","parse-names":false,"suffix":""},{"dropping-particle":"","family":"Gillinov","given":"A. Marc","non-dropping-particle":"","parse-names":false,"suffix":""},{"dropping-particle":"","family":"Mehra","given":"Reena","non-dropping-particle":"","parse-names":false,"suffix":""},{"dropping-particle":"","family":"Willard","given":"Belinda B.","non-dropping-particle":"","parse-names":false,"suffix":""},{"dropping-particle":"","family":"Smith","given":"Jonathan D.","non-dropping-particle":"","parse-names":false,"suffix":""},{"dropping-particle":"","family":"Chung","given":"Mina K.","non-dropping-particle":"","parse-names":false,"suffix":""},{"dropping-particle":"","family":"Barnard","given":"John","non-dropping-particle":"","parse-names":false,"suffix":""},{"dropping-particle":"","family":"Wagoner","given":"David R.","non-dropping-particle":"Van","parse-names":false,"suffix":""}],"container-title":"Pflugers Archiv European Journal of Physiology","id":"ITEM-2","issue":"3","issued":{"date-parts":[["2021"]]},"title":"Atrial fibrillation rhythm is associated with marked changes in metabolic and myofibrillar protein expression in left atrial appendage","type":"article-journal","volume":"473"},"uris":["http://www.mendeley.com/documents/?uuid=253becde-1a8a-34d2-9e4f-d85af9f0b352"]}],"mendeley":{"formattedCitation":"&lt;sup&gt;6,20&lt;/sup&gt;","plainTextFormattedCitation":"6,20","previouslyFormattedCitation":"&lt;sup&gt;6,20&lt;/sup&gt;"},"properties":{"noteIndex":0},"schema":"https://github.com/citation-style-language/schema/raw/master/csl-citation.json"}</w:instrText>
      </w:r>
      <w:r w:rsidRPr="00850718">
        <w:rPr>
          <w:sz w:val="24"/>
          <w:lang w:val="en-US"/>
        </w:rPr>
        <w:fldChar w:fldCharType="separate"/>
      </w:r>
      <w:r w:rsidRPr="00850718">
        <w:rPr>
          <w:noProof/>
          <w:sz w:val="24"/>
          <w:vertAlign w:val="superscript"/>
          <w:lang w:val="en-US"/>
        </w:rPr>
        <w:t>6,20</w:t>
      </w:r>
      <w:r w:rsidRPr="00850718">
        <w:rPr>
          <w:sz w:val="24"/>
          <w:lang w:val="en-US"/>
        </w:rPr>
        <w:fldChar w:fldCharType="end"/>
      </w:r>
      <w:r w:rsidRPr="00850718">
        <w:rPr>
          <w:sz w:val="24"/>
          <w:lang w:val="en-US"/>
        </w:rPr>
        <w:t xml:space="preserve">. We were able to detect all of these markers in our dataset (Fig. S2F). With regard to the extracellular matrix as a key determinant of cardiac tissue remodeling, </w:t>
      </w:r>
      <w:r w:rsidRPr="00850718">
        <w:rPr>
          <w:sz w:val="24"/>
          <w:szCs w:val="24"/>
          <w:lang w:val="en-US"/>
        </w:rPr>
        <w:t xml:space="preserve">we detected 362 </w:t>
      </w:r>
      <w:r w:rsidRPr="00850718">
        <w:rPr>
          <w:i/>
          <w:iCs/>
          <w:sz w:val="24"/>
          <w:szCs w:val="24"/>
          <w:lang w:val="en-US"/>
        </w:rPr>
        <w:t>bona fide</w:t>
      </w:r>
      <w:r w:rsidRPr="00850718">
        <w:rPr>
          <w:sz w:val="24"/>
          <w:szCs w:val="24"/>
          <w:lang w:val="en-US"/>
        </w:rPr>
        <w:t xml:space="preserve"> extracellular matrix (ECM) proteins contained in the </w:t>
      </w:r>
      <w:proofErr w:type="spellStart"/>
      <w:r w:rsidRPr="00850718">
        <w:rPr>
          <w:sz w:val="24"/>
          <w:szCs w:val="24"/>
          <w:lang w:val="en-US"/>
        </w:rPr>
        <w:t>matrisome</w:t>
      </w:r>
      <w:proofErr w:type="spellEnd"/>
      <w:r w:rsidRPr="00850718">
        <w:rPr>
          <w:sz w:val="24"/>
          <w:szCs w:val="24"/>
          <w:lang w:val="en-US"/>
        </w:rPr>
        <w:t xml:space="preserve"> database</w:t>
      </w:r>
      <w:r w:rsidRPr="00850718">
        <w:rPr>
          <w:sz w:val="24"/>
          <w:szCs w:val="24"/>
          <w:lang w:val="en-US"/>
        </w:rPr>
        <w:fldChar w:fldCharType="begin" w:fldLock="1"/>
      </w:r>
      <w:r w:rsidRPr="00850718">
        <w:rPr>
          <w:sz w:val="24"/>
          <w:szCs w:val="24"/>
          <w:lang w:val="en-US"/>
        </w:rPr>
        <w:instrText>ADDIN CSL_CITATION {"citationItems":[{"id":"ITEM-1","itemData":{"DOI":"10.1074/mcp.M111.014647","ISSN":"15359476","abstract":"The extracellular matrix (ECM) is a complex meshwork of cross-linked proteins providing both biophysical and biochemical cues that are important regulators of cell proliferation, survival, differentiation, and migration. We present here a proteomic strategy developed to characterize the in vivo ECM composition of normal tissues and tumors using enrichment of protein extracts for ECM components and subsequent analysis by mass spectrometry. In parallel, we have developed a bioinformatic approach to predict the in silico \"matrisome\" defined as the ensemble of ECM proteins and associated factors. We report the characterization of the extracellular matrices of murine lung and colon, each comprising more than 100 ECM proteins and each presenting a characteristic signature. Moreover, using human tumor xenografts in mice, we show that both tumor cells and stromal cells contribute to the production of the tumor matrix and that tumors of differing metastatic potential differ in both the tumor- and the stroma-derived ECM components. The strategy we describe and illustrate here can be broadly applied and, to facilitate application of these methods by others, we provide resources including laboratory protocols, inventories of ECM domains and proteins, and instructions for bioinformatically deriving the human and mouse matrisome. © 2012 by The American Society for Biochemistry and Molecular Biology, Inc.","author":[{"dropping-particle":"","family":"Naba","given":"Alexandra","non-dropping-particle":"","parse-names":false,"suffix":""},{"dropping-particle":"","family":"Clauser","given":"Karl R.","non-dropping-particle":"","parse-names":false,"suffix":""},{"dropping-particle":"","family":"Hoersch","given":"Sebastian","non-dropping-particle":"","parse-names":false,"suffix":""},{"dropping-particle":"","family":"Liu","given":"Hui","non-dropping-particle":"","parse-names":false,"suffix":""},{"dropping-particle":"","family":"Carr","given":"Steven A.","non-dropping-particle":"","parse-names":false,"suffix":""},{"dropping-particle":"","family":"Hynes","given":"Richard O.","non-dropping-particle":"","parse-names":false,"suffix":""}],"container-title":"Molecular and Cellular Proteomics","id":"ITEM-1","issue":"4","issued":{"date-parts":[["2012"]]},"title":"The matrisome: In silico definition and in vivo characterization by proteomics of normal and tumor extracellular matrices","type":"article-journal","volume":"11"},"uris":["http://www.mendeley.com/documents/?uuid=0414a888-ddc7-30be-9715-27922e9d7b6c"]}],"mendeley":{"formattedCitation":"&lt;sup&gt;21&lt;/sup&gt;","plainTextFormattedCitation":"21","previouslyFormattedCitation":"&lt;sup&gt;21&lt;/sup&gt;"},"properties":{"noteIndex":0},"schema":"https://github.com/citation-style-language/schema/raw/master/csl-citation.json"}</w:instrText>
      </w:r>
      <w:r w:rsidRPr="00850718">
        <w:rPr>
          <w:sz w:val="24"/>
          <w:szCs w:val="24"/>
          <w:lang w:val="en-US"/>
        </w:rPr>
        <w:fldChar w:fldCharType="separate"/>
      </w:r>
      <w:r w:rsidRPr="00850718">
        <w:rPr>
          <w:noProof/>
          <w:sz w:val="24"/>
          <w:szCs w:val="24"/>
          <w:vertAlign w:val="superscript"/>
          <w:lang w:val="en-US"/>
        </w:rPr>
        <w:t>21</w:t>
      </w:r>
      <w:r w:rsidRPr="00850718">
        <w:rPr>
          <w:sz w:val="24"/>
          <w:szCs w:val="24"/>
          <w:lang w:val="en-US"/>
        </w:rPr>
        <w:fldChar w:fldCharType="end"/>
      </w:r>
      <w:r w:rsidRPr="00850718">
        <w:rPr>
          <w:sz w:val="24"/>
          <w:szCs w:val="24"/>
          <w:lang w:val="en-US"/>
        </w:rPr>
        <w:t xml:space="preserve"> even without decellularization, which is comparable with dedicated ECM studies</w:t>
      </w:r>
      <w:r w:rsidRPr="00850718">
        <w:rPr>
          <w:sz w:val="24"/>
          <w:szCs w:val="24"/>
          <w:lang w:val="en-US"/>
        </w:rPr>
        <w:fldChar w:fldCharType="begin" w:fldLock="1"/>
      </w:r>
      <w:r w:rsidRPr="00850718">
        <w:rPr>
          <w:sz w:val="24"/>
          <w:szCs w:val="24"/>
          <w:lang w:val="en-US"/>
        </w:rPr>
        <w:instrText>ADDIN CSL_CITATION {"citationItems":[{"id":"ITEM-1","itemData":{"author":[{"dropping-particle":"","family":"Buck KM, Rogers HT, Gregorich ZR, Mann MW, Aballo TJ, Gao Z, Chapman EA, Perciaccante AJ, Price SJ, Lei I, Tang PC","given":"Ge Y.","non-dropping-particle":"","parse-names":false,"suffix":""}],"container-title":"bioRxiv [Preprint]","id":"ITEM-1","issued":{"date-parts":[["2025"]]},"title":"Extracellular Matrix Alterations in Chronic Ischemic Cardiomyopathy Revealed by Quantitative Proteomics","type":"article-journal"},"uris":["http://www.mendeley.com/documents/?uuid=39500479-e20d-4c97-b8f2-0c88eb975a2d"]}],"mendeley":{"formattedCitation":"&lt;sup&gt;22&lt;/sup&gt;","plainTextFormattedCitation":"22"},"properties":{"noteIndex":0},"schema":"https://github.com/citation-style-language/schema/raw/master/csl-citation.json"}</w:instrText>
      </w:r>
      <w:r w:rsidRPr="00850718">
        <w:rPr>
          <w:sz w:val="24"/>
          <w:szCs w:val="24"/>
          <w:lang w:val="en-US"/>
        </w:rPr>
        <w:fldChar w:fldCharType="separate"/>
      </w:r>
      <w:r w:rsidRPr="00850718">
        <w:rPr>
          <w:noProof/>
          <w:sz w:val="24"/>
          <w:szCs w:val="24"/>
          <w:vertAlign w:val="superscript"/>
          <w:lang w:val="en-US"/>
        </w:rPr>
        <w:t>22</w:t>
      </w:r>
      <w:r w:rsidRPr="00850718">
        <w:rPr>
          <w:sz w:val="24"/>
          <w:szCs w:val="24"/>
          <w:lang w:val="en-US"/>
        </w:rPr>
        <w:fldChar w:fldCharType="end"/>
      </w:r>
      <w:r w:rsidRPr="00850718">
        <w:rPr>
          <w:sz w:val="24"/>
          <w:szCs w:val="24"/>
          <w:lang w:val="en-US"/>
        </w:rPr>
        <w:t xml:space="preserve">. We conclude that our methodological approach, while not providing complete cardiac proteome profiles, is highly suitable to study the processes underlying tissue remodeling in the context of </w:t>
      </w:r>
      <w:proofErr w:type="spellStart"/>
      <w:r w:rsidRPr="00850718">
        <w:rPr>
          <w:sz w:val="24"/>
          <w:szCs w:val="24"/>
          <w:lang w:val="en-US"/>
        </w:rPr>
        <w:t>persAF</w:t>
      </w:r>
      <w:proofErr w:type="spellEnd"/>
      <w:r w:rsidRPr="00850718">
        <w:rPr>
          <w:sz w:val="24"/>
          <w:lang w:val="en-US"/>
        </w:rPr>
        <w:t>, despite the use of healthy donor tissue-based library</w:t>
      </w:r>
      <w:r w:rsidR="009A63C2" w:rsidRPr="00850718">
        <w:rPr>
          <w:sz w:val="24"/>
          <w:lang w:val="en-US"/>
        </w:rPr>
        <w:t>.</w:t>
      </w:r>
    </w:p>
    <w:p w14:paraId="4EFBFC5C" w14:textId="4FF2E44D" w:rsidR="006264FB" w:rsidRDefault="006264FB" w:rsidP="00DF170A">
      <w:pPr>
        <w:pStyle w:val="Heading1"/>
        <w:rPr>
          <w:lang w:val="en-US"/>
        </w:rPr>
      </w:pPr>
      <w:bookmarkStart w:id="22" w:name="_Toc218605972"/>
      <w:r w:rsidRPr="00850718">
        <w:rPr>
          <w:lang w:val="en-US"/>
        </w:rPr>
        <w:lastRenderedPageBreak/>
        <w:t>Supplemental Figures</w:t>
      </w:r>
      <w:bookmarkEnd w:id="22"/>
    </w:p>
    <w:p w14:paraId="6AC28DB2" w14:textId="3A98FC78" w:rsidR="0023092C" w:rsidRDefault="001C592A" w:rsidP="001C592A">
      <w:pPr>
        <w:spacing w:line="259" w:lineRule="auto"/>
        <w:jc w:val="center"/>
        <w:rPr>
          <w:lang w:val="en-US"/>
        </w:rPr>
      </w:pPr>
      <w:r>
        <w:rPr>
          <w:noProof/>
          <w:lang w:eastAsia="en-GB"/>
        </w:rPr>
        <w:drawing>
          <wp:inline distT="0" distB="0" distL="0" distR="0" wp14:anchorId="1A1A4A0F" wp14:editId="3C7D7D63">
            <wp:extent cx="5201370" cy="4292600"/>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py of CVR revision_Effect of medication (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02485" cy="4293520"/>
                    </a:xfrm>
                    <a:prstGeom prst="rect">
                      <a:avLst/>
                    </a:prstGeom>
                  </pic:spPr>
                </pic:pic>
              </a:graphicData>
            </a:graphic>
          </wp:inline>
        </w:drawing>
      </w:r>
    </w:p>
    <w:p w14:paraId="342D2C20" w14:textId="3838BB79" w:rsidR="00247847" w:rsidRPr="004A4E01" w:rsidRDefault="00247847" w:rsidP="004A4E01">
      <w:pPr>
        <w:jc w:val="both"/>
        <w:rPr>
          <w:rFonts w:cs="Calibri"/>
          <w:bCs/>
          <w:strike/>
        </w:rPr>
      </w:pPr>
      <w:r w:rsidRPr="00850718">
        <w:rPr>
          <w:rFonts w:cs="Calibri"/>
          <w:b/>
          <w:bCs/>
        </w:rPr>
        <w:t>Fig. S1 Assessment of potential confounding effect by medication use. A,</w:t>
      </w:r>
      <w:r w:rsidRPr="00850718">
        <w:rPr>
          <w:rFonts w:cs="Calibri"/>
          <w:bCs/>
        </w:rPr>
        <w:t xml:space="preserve"> Summary of the </w:t>
      </w:r>
      <w:r w:rsidRPr="00850718">
        <w:rPr>
          <w:rFonts w:cs="Calibri"/>
          <w:bCs/>
          <w:i/>
        </w:rPr>
        <w:t>p</w:t>
      </w:r>
      <w:r w:rsidRPr="00850718">
        <w:rPr>
          <w:rFonts w:cs="Calibri"/>
          <w:bCs/>
        </w:rPr>
        <w:t xml:space="preserve"> values obtained by Fisher’s exact test aimed to evaluate the effect of 8 major drug categories between RA-SR and </w:t>
      </w:r>
      <w:proofErr w:type="spellStart"/>
      <w:r w:rsidRPr="00850718">
        <w:rPr>
          <w:rFonts w:cs="Calibri"/>
          <w:bCs/>
        </w:rPr>
        <w:t>persAF</w:t>
      </w:r>
      <w:proofErr w:type="spellEnd"/>
      <w:r w:rsidRPr="00850718">
        <w:rPr>
          <w:rFonts w:cs="Calibri"/>
          <w:bCs/>
        </w:rPr>
        <w:t xml:space="preserve"> </w:t>
      </w:r>
      <w:r w:rsidRPr="001127A1">
        <w:rPr>
          <w:rFonts w:cs="Calibri"/>
          <w:bCs/>
        </w:rPr>
        <w:t xml:space="preserve">patients. </w:t>
      </w:r>
      <w:r w:rsidR="0023092C" w:rsidRPr="001127A1">
        <w:rPr>
          <w:rFonts w:cs="Calibri"/>
          <w:b/>
          <w:bCs/>
        </w:rPr>
        <w:t>B,</w:t>
      </w:r>
      <w:r w:rsidR="0023092C" w:rsidRPr="001127A1">
        <w:rPr>
          <w:rFonts w:cs="Calibri"/>
          <w:bCs/>
        </w:rPr>
        <w:t xml:space="preserve"> Scatter plot comparing group-effect coefficients (β) before and after adjustment for overall medication burden (Drugs-PC1). The high agreement (R</w:t>
      </w:r>
      <w:r w:rsidR="001C592A" w:rsidRPr="001127A1">
        <w:rPr>
          <w:rFonts w:cs="Calibri"/>
          <w:bCs/>
          <w:vertAlign w:val="superscript"/>
        </w:rPr>
        <w:t>2</w:t>
      </w:r>
      <w:r w:rsidR="0023092C" w:rsidRPr="001127A1">
        <w:rPr>
          <w:rFonts w:cs="Calibri"/>
          <w:bCs/>
        </w:rPr>
        <w:t xml:space="preserve"> = 0.969; RMSE = 0.0341) indicates that medication use did not substantially influence the estimated group effects. </w:t>
      </w:r>
      <w:r w:rsidR="0023092C" w:rsidRPr="001127A1">
        <w:rPr>
          <w:rFonts w:cs="Calibri"/>
          <w:b/>
          <w:bCs/>
        </w:rPr>
        <w:t>C,</w:t>
      </w:r>
      <w:r w:rsidR="0023092C" w:rsidRPr="001127A1">
        <w:rPr>
          <w:rFonts w:cs="Calibri"/>
          <w:bCs/>
        </w:rPr>
        <w:t xml:space="preserve"> β–β concordance between the primary model and the fully adjusted model (</w:t>
      </w:r>
      <w:r w:rsidR="001C592A" w:rsidRPr="001127A1">
        <w:rPr>
          <w:rFonts w:cs="Calibri"/>
          <w:bCs/>
        </w:rPr>
        <w:t>A</w:t>
      </w:r>
      <w:r w:rsidR="0023092C" w:rsidRPr="001127A1">
        <w:rPr>
          <w:rFonts w:cs="Calibri"/>
          <w:bCs/>
        </w:rPr>
        <w:t xml:space="preserve">ge, </w:t>
      </w:r>
      <w:r w:rsidR="001C592A" w:rsidRPr="001127A1">
        <w:rPr>
          <w:rFonts w:cs="Calibri"/>
          <w:bCs/>
        </w:rPr>
        <w:t>S</w:t>
      </w:r>
      <w:r w:rsidR="0023092C" w:rsidRPr="001127A1">
        <w:rPr>
          <w:rFonts w:cs="Calibri"/>
          <w:bCs/>
        </w:rPr>
        <w:t>ex, Drugs-PC1, CAD, MVD/AVD). Agreement remained high (r = 0.917; RMSE = 0.082); counts: both significant = 9, main-only = 12, sensitivity-only = 7.</w:t>
      </w:r>
    </w:p>
    <w:p w14:paraId="51FF5238" w14:textId="5524EFC0" w:rsidR="006264FB" w:rsidRDefault="00C172D0" w:rsidP="006264FB">
      <w:pPr>
        <w:spacing w:after="0"/>
        <w:rPr>
          <w:lang w:val="en-US"/>
        </w:rPr>
      </w:pPr>
      <w:r>
        <w:rPr>
          <w:noProof/>
          <w:lang w:eastAsia="en-GB"/>
        </w:rPr>
        <w:lastRenderedPageBreak/>
        <w:drawing>
          <wp:inline distT="0" distB="0" distL="0" distR="0" wp14:anchorId="050E8CF8" wp14:editId="3E6C73E3">
            <wp:extent cx="5731510" cy="5757545"/>
            <wp:effectExtent l="0" t="0" r="254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py of Untitled (9).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5757545"/>
                    </a:xfrm>
                    <a:prstGeom prst="rect">
                      <a:avLst/>
                    </a:prstGeom>
                  </pic:spPr>
                </pic:pic>
              </a:graphicData>
            </a:graphic>
          </wp:inline>
        </w:drawing>
      </w:r>
    </w:p>
    <w:p w14:paraId="7C442106" w14:textId="6D08EA33" w:rsidR="00B65A4E" w:rsidRPr="004A4E01" w:rsidRDefault="00E7676C" w:rsidP="004A4E01">
      <w:pPr>
        <w:jc w:val="both"/>
        <w:rPr>
          <w:rFonts w:cs="Calibri"/>
          <w:bCs/>
        </w:rPr>
      </w:pPr>
      <w:r w:rsidRPr="00850718">
        <w:rPr>
          <w:rFonts w:cs="Calibri"/>
          <w:b/>
          <w:bCs/>
        </w:rPr>
        <w:t>Fig. S</w:t>
      </w:r>
      <w:r w:rsidR="00247847" w:rsidRPr="00850718">
        <w:rPr>
          <w:rFonts w:cs="Calibri"/>
          <w:b/>
          <w:bCs/>
        </w:rPr>
        <w:t>2</w:t>
      </w:r>
      <w:r w:rsidRPr="00850718">
        <w:rPr>
          <w:rFonts w:cs="Calibri"/>
          <w:b/>
          <w:bCs/>
        </w:rPr>
        <w:t xml:space="preserve"> Validation of the library.</w:t>
      </w:r>
      <w:r w:rsidRPr="00850718">
        <w:rPr>
          <w:rFonts w:cs="Calibri"/>
          <w:bCs/>
        </w:rPr>
        <w:t xml:space="preserve"> </w:t>
      </w:r>
      <w:r w:rsidRPr="00850718">
        <w:rPr>
          <w:rFonts w:cs="Calibri"/>
          <w:b/>
          <w:bCs/>
        </w:rPr>
        <w:t>A,</w:t>
      </w:r>
      <w:r w:rsidRPr="00850718">
        <w:rPr>
          <w:rFonts w:cs="Calibri"/>
          <w:bCs/>
        </w:rPr>
        <w:t xml:space="preserve"> DDA MS/MS spectral library, </w:t>
      </w:r>
      <w:r w:rsidRPr="00850718">
        <w:rPr>
          <w:rFonts w:cs="Calibri"/>
          <w:bCs/>
          <w:i/>
        </w:rPr>
        <w:t>m</w:t>
      </w:r>
      <w:r w:rsidRPr="00850718">
        <w:rPr>
          <w:rFonts w:cs="Calibri"/>
          <w:bCs/>
        </w:rPr>
        <w:t>/</w:t>
      </w:r>
      <w:r w:rsidRPr="00850718">
        <w:rPr>
          <w:rFonts w:cs="Calibri"/>
          <w:bCs/>
          <w:i/>
        </w:rPr>
        <w:t>z</w:t>
      </w:r>
      <w:r w:rsidRPr="00850718">
        <w:rPr>
          <w:rFonts w:cs="Calibri"/>
          <w:bCs/>
        </w:rPr>
        <w:t xml:space="preserve"> distribution of peptide precursors. Marked area represents precursor isolation of </w:t>
      </w:r>
      <w:r w:rsidRPr="00850718">
        <w:rPr>
          <w:rFonts w:cs="Calibri"/>
          <w:bCs/>
          <w:i/>
        </w:rPr>
        <w:t>m</w:t>
      </w:r>
      <w:r w:rsidRPr="00850718">
        <w:rPr>
          <w:rFonts w:cs="Calibri"/>
          <w:bCs/>
        </w:rPr>
        <w:t>/</w:t>
      </w:r>
      <w:r w:rsidRPr="00850718">
        <w:rPr>
          <w:rFonts w:cs="Calibri"/>
          <w:bCs/>
          <w:i/>
        </w:rPr>
        <w:t xml:space="preserve">z </w:t>
      </w:r>
      <w:r w:rsidRPr="00850718">
        <w:rPr>
          <w:rFonts w:cs="Calibri"/>
          <w:bCs/>
        </w:rPr>
        <w:t xml:space="preserve">350-1400 in DIA-MS, covering 97.6% of the library. </w:t>
      </w:r>
      <w:r w:rsidRPr="00850718">
        <w:rPr>
          <w:rFonts w:cs="Calibri"/>
          <w:b/>
          <w:bCs/>
        </w:rPr>
        <w:t>B,</w:t>
      </w:r>
      <w:r w:rsidRPr="00850718">
        <w:rPr>
          <w:rFonts w:cs="Calibri"/>
          <w:bCs/>
        </w:rPr>
        <w:t xml:space="preserve"> DDA MS/MS spectral library, representative plot of retention time vs IRT. </w:t>
      </w:r>
      <w:r w:rsidRPr="00850718">
        <w:rPr>
          <w:rFonts w:cs="Calibri"/>
          <w:b/>
          <w:bCs/>
        </w:rPr>
        <w:t>C,</w:t>
      </w:r>
      <w:r w:rsidRPr="00850718">
        <w:rPr>
          <w:rFonts w:cs="Calibri"/>
          <w:bCs/>
        </w:rPr>
        <w:t xml:space="preserve"> DDA MS/MS spectral library, 1/K</w:t>
      </w:r>
      <w:r w:rsidRPr="00850718">
        <w:rPr>
          <w:rFonts w:cs="Calibri"/>
          <w:bCs/>
          <w:vertAlign w:val="subscript"/>
        </w:rPr>
        <w:t>0</w:t>
      </w:r>
      <w:r w:rsidRPr="00850718">
        <w:rPr>
          <w:rFonts w:cs="Calibri"/>
          <w:bCs/>
        </w:rPr>
        <w:t xml:space="preserve"> distribution of peptide precursors. Marked area represents precursor isolation of 1/K</w:t>
      </w:r>
      <w:r w:rsidRPr="00850718">
        <w:rPr>
          <w:rFonts w:cs="Calibri"/>
          <w:bCs/>
          <w:vertAlign w:val="subscript"/>
        </w:rPr>
        <w:t>0</w:t>
      </w:r>
      <w:r w:rsidRPr="00850718">
        <w:rPr>
          <w:rFonts w:cs="Calibri"/>
          <w:bCs/>
        </w:rPr>
        <w:t xml:space="preserve"> 0.7-1.5 in DIA-MS, covering 98.6% of the library. </w:t>
      </w:r>
      <w:r w:rsidRPr="00850718">
        <w:rPr>
          <w:rFonts w:cs="Calibri"/>
          <w:b/>
          <w:bCs/>
        </w:rPr>
        <w:t>D,</w:t>
      </w:r>
      <w:r w:rsidRPr="00850718">
        <w:rPr>
          <w:rFonts w:cs="Calibri"/>
          <w:bCs/>
        </w:rPr>
        <w:t xml:space="preserve"> Boxplots of protein group, peptide and precursor detections across samples (n=121, 5/95% percentiles). </w:t>
      </w:r>
      <w:r w:rsidRPr="00850718">
        <w:rPr>
          <w:rFonts w:cs="Calibri"/>
          <w:b/>
          <w:bCs/>
        </w:rPr>
        <w:t>E,</w:t>
      </w:r>
      <w:r w:rsidRPr="00850718">
        <w:rPr>
          <w:rFonts w:cs="Calibri"/>
          <w:bCs/>
        </w:rPr>
        <w:t xml:space="preserve"> Violin plots of protein </w:t>
      </w:r>
      <w:r w:rsidRPr="00850718">
        <w:rPr>
          <w:rFonts w:cs="Calibri"/>
          <w:bCs/>
          <w:i/>
        </w:rPr>
        <w:t>g</w:t>
      </w:r>
      <w:r w:rsidRPr="00850718">
        <w:rPr>
          <w:rFonts w:cs="Calibri"/>
          <w:bCs/>
        </w:rPr>
        <w:t xml:space="preserve"> coefficients of variation, analysed by sample group. Median CV range from 14.2% to 20.1%. </w:t>
      </w:r>
      <w:r w:rsidRPr="00850718">
        <w:rPr>
          <w:rFonts w:cs="Calibri"/>
          <w:b/>
          <w:bCs/>
          <w:color w:val="000000" w:themeColor="text1"/>
        </w:rPr>
        <w:t>F,</w:t>
      </w:r>
      <w:r w:rsidRPr="00850718">
        <w:rPr>
          <w:rFonts w:cs="Calibri"/>
          <w:bCs/>
          <w:color w:val="000000" w:themeColor="text1"/>
        </w:rPr>
        <w:t xml:space="preserve"> The schematic representation of the reference </w:t>
      </w:r>
      <w:proofErr w:type="spellStart"/>
      <w:r w:rsidRPr="00850718">
        <w:rPr>
          <w:rFonts w:cs="Calibri"/>
          <w:bCs/>
          <w:color w:val="000000" w:themeColor="text1"/>
        </w:rPr>
        <w:t>persAF</w:t>
      </w:r>
      <w:proofErr w:type="spellEnd"/>
      <w:r w:rsidRPr="00850718">
        <w:rPr>
          <w:rFonts w:cs="Calibri"/>
          <w:bCs/>
          <w:color w:val="000000" w:themeColor="text1"/>
        </w:rPr>
        <w:t xml:space="preserve"> protein markers identified in previous studies using library-free approach</w:t>
      </w:r>
      <w:r w:rsidRPr="00850718">
        <w:rPr>
          <w:rFonts w:cs="Calibri"/>
          <w:bCs/>
          <w:color w:val="000000" w:themeColor="text1"/>
        </w:rPr>
        <w:fldChar w:fldCharType="begin" w:fldLock="1"/>
      </w:r>
      <w:r w:rsidR="00915045" w:rsidRPr="00850718">
        <w:rPr>
          <w:rFonts w:cs="Calibri"/>
          <w:bCs/>
          <w:color w:val="000000" w:themeColor="text1"/>
        </w:rPr>
        <w:instrText>ADDIN CSL_CITATION {"citationItems":[{"id":"ITEM-1","itemData":{"DOI":"10.1038/s41467-017-01747-2","ISSN":"20411723","abstract":"The heart is a central human organ and its diseases are the leading cause of death worldwide, but an in-depth knowledge of the identity and quantity of its constituent proteins is still lacking. Here, we determine the healthy human heart proteome by measuring 16 anatomical regions and three major cardiac cell types by high-resolution mass spectrometry-based proteomics. From low microgram sample amounts, we quantify over 10,700 proteins in this high dynamic range tissue. We combine copy numbers per cell with protein organellar assignments to build a model of the heart proteome at the subcellular level. Analysis of cardiac fibroblasts identifies cellular receptors as potential cell surface markers. Application of our heart map to atrial fibrillation reveals individually distinct mitochondrial dysfunctions. The heart map is available at maxqb.biochem.mpg.de as a resource for future analyses of normal heart function and disease.","author":[{"dropping-particle":"","family":"Doll","given":"Sophia","non-dropping-particle":"","parse-names":false,"suffix":""},{"dropping-particle":"","family":"Dreßen","given":"Martina","non-dropping-particle":"","parse-names":false,"suffix":""},{"dropping-particle":"","family":"Geyer","given":"Philipp E.","non-dropping-particle":"","parse-names":false,"suffix":""},{"dropping-particle":"","family":"Itzhak","given":"Daniel N.","non-dropping-particle":"","parse-names":false,"suffix":""},{"dropping-particle":"","family":"Braun","given":"Christian","non-dropping-particle":"","parse-names":false,"suffix":""},{"dropping-particle":"","family":"Doppler","given":"Stefanie A.","non-dropping-particle":"","parse-names":false,"suffix":""},{"dropping-particle":"","family":"Meier","given":"Florian","non-dropping-particle":"","parse-names":false,"suffix":""},{"dropping-particle":"","family":"Deutsch","given":"Marcus Andre","non-dropping-particle":"","parse-names":false,"suffix":""},{"dropping-particle":"","family":"Lahm","given":"Harald","non-dropping-particle":"","parse-names":false,"suffix":""},{"dropping-particle":"","family":"Lange","given":"Rüdiger","non-dropping-particle":"","parse-names":false,"suffix":""},{"dropping-particle":"","family":"Krane","given":"Markus","non-dropping-particle":"","parse-names":false,"suffix":""},{"dropping-particle":"","family":"Mann","given":"Matthias","non-dropping-particle":"","parse-names":false,"suffix":""}],"container-title":"Nature Communications","id":"ITEM-1","issue":"1","issued":{"date-parts":[["2017"]]},"title":"Region and cell-type resolved quantitative proteomic map of the human heart","type":"article-journal","volume":"8"},"uris":["http://www.mendeley.com/documents/?uuid=af5bfa9a-22b9-3e1d-bf0f-714e9789938e"]},{"id":"ITEM-2","itemData":{"DOI":"10.1007/s00424-021-02514-5","ISSN":"14322013","abstract":"Atrial fibrillation (AF) is strongly associated with risk of stroke and heart failure. AF promotes atrial remodeling that increases risk of stroke due to left atrial thrombogenesis, and increases energy demand to support high rate electrical activity and muscle contraction. While many transcriptomic studies have assessed AF-related changes in mRNA abundance, fewer studies have assessed proteomic changes. We performed a proteomic analysis on left atrial appendage (LAA) tissues from 12 patients with a history of AF undergoing elective surgery; atrial rhythm was documented at time of surgery. Proteomic analysis was performed using liquid chromatography with mass spectrometry (LC/MS-MS). Data-dependent analysis identified 3090 unique proteins, with 408 differentially expressed between sinus rhythm and AF. Ingenuity Pathway Analysis of differentially expressed proteins identified mitochondrial dysfunction, oxidative phosphorylation, and sirtuin signaling among the most affected pathways. Increased abundance of electron transport chain (ETC) proteins in AF was accompanied by decreased expression of ETC complex assembly factors, tricarboxylic acid cycle proteins, and other key metabolic modulators. Discordant changes were also evident in the contractile unit with both up and downregulation of key components. Similar pathways were affected in a comparison of patients with a history of persistent vs. paroxysmal AF, presenting for surgery in sinus rhythm. Together, these data suggest that while the LAA attempts to meet the energetic demands of AF, an uncoordinated response may reduce ATP availability, contribute to tissue contractile and electrophysiologic heterogeneity, and promote a progression of AF from paroxysmal episodes to development of a substrate amenable to persistent arrhythmia.","author":[{"dropping-particle":"","family":"Rennison","given":"Julie H.","non-dropping-particle":"","parse-names":false,"suffix":""},{"dropping-particle":"","family":"Li","given":"Ling","non-dropping-particle":"","parse-names":false,"suffix":""},{"dropping-particle":"","family":"Lin","given":"Cheryl R.","non-dropping-particle":"","parse-names":false,"suffix":""},{"dropping-particle":"","family":"Lovano","given":"Beth S.","non-dropping-particle":"","parse-names":false,"suffix":""},{"dropping-particle":"","family":"Castel","given":"Laurie","non-dropping-particle":"","parse-names":false,"suffix":""},{"dropping-particle":"","family":"Wass","given":"Sojin Youn","non-dropping-particle":"","parse-names":false,"suffix":""},{"dropping-particle":"","family":"Cantlay","given":"Catherine C.","non-dropping-particle":"","parse-names":false,"suffix":""},{"dropping-particle":"","family":"McHale","given":"Meghan","non-dropping-particle":"","parse-names":false,"suffix":""},{"dropping-particle":"","family":"Gillinov","given":"A. Marc","non-dropping-particle":"","parse-names":false,"suffix":""},{"dropping-particle":"","family":"Mehra","given":"Reena","non-dropping-particle":"","parse-names":false,"suffix":""},{"dropping-particle":"","family":"Willard","given":"Belinda B.","non-dropping-particle":"","parse-names":false,"suffix":""},{"dropping-particle":"","family":"Smith","given":"Jonathan D.","non-dropping-particle":"","parse-names":false,"suffix":""},{"dropping-particle":"","family":"Chung","given":"Mina K.","non-dropping-particle":"","parse-names":false,"suffix":""},{"dropping-particle":"","family":"Barnard","given":"John","non-dropping-particle":"","parse-names":false,"suffix":""},{"dropping-particle":"","family":"Wagoner","given":"David R.","non-dropping-particle":"Van","parse-names":false,"suffix":""}],"container-title":"Pflugers Archiv European Journal of Physiology","id":"ITEM-2","issue":"3","issued":{"date-parts":[["2021"]]},"title":"Atrial fibrillation rhythm is associated with marked changes in metabolic and myofibrillar protein expression in left atrial appendage","type":"article-journal","volume":"473"},"uris":["http://www.mendeley.com/documents/?uuid=253becde-1a8a-34d2-9e4f-d85af9f0b352"]}],"mendeley":{"formattedCitation":"&lt;sup&gt;6,20&lt;/sup&gt;","plainTextFormattedCitation":"6,20","previouslyFormattedCitation":"&lt;sup&gt;6,20&lt;/sup&gt;"},"properties":{"noteIndex":0},"schema":"https://github.com/citation-style-language/schema/raw/master/csl-citation.json"}</w:instrText>
      </w:r>
      <w:r w:rsidRPr="00850718">
        <w:rPr>
          <w:rFonts w:cs="Calibri"/>
          <w:bCs/>
          <w:color w:val="000000" w:themeColor="text1"/>
        </w:rPr>
        <w:fldChar w:fldCharType="separate"/>
      </w:r>
      <w:r w:rsidR="00D0477F" w:rsidRPr="00850718">
        <w:rPr>
          <w:rFonts w:cs="Calibri"/>
          <w:bCs/>
          <w:noProof/>
          <w:color w:val="000000" w:themeColor="text1"/>
          <w:vertAlign w:val="superscript"/>
        </w:rPr>
        <w:t>6,20</w:t>
      </w:r>
      <w:r w:rsidRPr="00850718">
        <w:rPr>
          <w:rFonts w:cs="Calibri"/>
          <w:bCs/>
          <w:color w:val="000000" w:themeColor="text1"/>
        </w:rPr>
        <w:fldChar w:fldCharType="end"/>
      </w:r>
      <w:r w:rsidRPr="00850718">
        <w:rPr>
          <w:rFonts w:cs="Calibri"/>
          <w:bCs/>
          <w:color w:val="000000" w:themeColor="text1"/>
        </w:rPr>
        <w:t xml:space="preserve"> within the proteome dataset of this study (generated </w:t>
      </w:r>
      <w:r w:rsidR="00E91109" w:rsidRPr="00850718">
        <w:rPr>
          <w:rFonts w:cs="Calibri"/>
          <w:bCs/>
          <w:color w:val="000000" w:themeColor="text1"/>
        </w:rPr>
        <w:t>via healthy donor-based library; left)</w:t>
      </w:r>
      <w:r w:rsidRPr="00850718">
        <w:rPr>
          <w:rFonts w:cs="Calibri"/>
          <w:bCs/>
          <w:color w:val="000000" w:themeColor="text1"/>
        </w:rPr>
        <w:t xml:space="preserve">. All 30 reference </w:t>
      </w:r>
      <w:proofErr w:type="spellStart"/>
      <w:r w:rsidRPr="00850718">
        <w:rPr>
          <w:rFonts w:cs="Calibri"/>
          <w:bCs/>
          <w:color w:val="000000" w:themeColor="text1"/>
        </w:rPr>
        <w:t>persAF</w:t>
      </w:r>
      <w:proofErr w:type="spellEnd"/>
      <w:r w:rsidRPr="00850718">
        <w:rPr>
          <w:rFonts w:cs="Calibri"/>
          <w:bCs/>
          <w:color w:val="000000" w:themeColor="text1"/>
        </w:rPr>
        <w:t xml:space="preserve"> markers</w:t>
      </w:r>
      <w:r w:rsidR="00E91109" w:rsidRPr="00850718">
        <w:rPr>
          <w:rFonts w:cs="Calibri"/>
          <w:bCs/>
          <w:color w:val="000000" w:themeColor="text1"/>
        </w:rPr>
        <w:t xml:space="preserve"> (right)</w:t>
      </w:r>
      <w:r w:rsidRPr="00850718">
        <w:rPr>
          <w:rFonts w:cs="Calibri"/>
          <w:bCs/>
          <w:color w:val="000000" w:themeColor="text1"/>
        </w:rPr>
        <w:t xml:space="preserve"> were detected in our dataset, supporting the suitability of the spectral library derived from non-failing hearts. </w:t>
      </w:r>
      <w:r w:rsidRPr="00850718">
        <w:rPr>
          <w:rFonts w:cs="Calibri"/>
          <w:bCs/>
        </w:rPr>
        <w:t xml:space="preserve">CV, coefficient of variation; IRT, indexed retention time; </w:t>
      </w:r>
      <w:r w:rsidRPr="00850718">
        <w:rPr>
          <w:rFonts w:cs="Calibri"/>
          <w:bCs/>
          <w:color w:val="000000" w:themeColor="text1"/>
        </w:rPr>
        <w:t xml:space="preserve">LAapp, left atrial appendage (donors, also called LA-SR in the main text); </w:t>
      </w:r>
      <w:r w:rsidRPr="00850718">
        <w:rPr>
          <w:rFonts w:cs="Calibri"/>
          <w:bCs/>
          <w:color w:val="000000" w:themeColor="text1"/>
        </w:rPr>
        <w:lastRenderedPageBreak/>
        <w:t>LAFW, left atrial free wall (donors, also called LA-SR in the main text); LA-</w:t>
      </w:r>
      <w:proofErr w:type="spellStart"/>
      <w:r w:rsidRPr="00850718">
        <w:rPr>
          <w:rFonts w:cs="Calibri"/>
          <w:bCs/>
          <w:color w:val="000000" w:themeColor="text1"/>
        </w:rPr>
        <w:t>persAF</w:t>
      </w:r>
      <w:proofErr w:type="spellEnd"/>
      <w:r w:rsidRPr="00850718">
        <w:rPr>
          <w:rFonts w:cs="Calibri"/>
          <w:bCs/>
        </w:rPr>
        <w:t>, left atrium from patients with persistent AF</w:t>
      </w:r>
      <w:r w:rsidRPr="00850718">
        <w:rPr>
          <w:rFonts w:cs="Calibri"/>
          <w:bCs/>
          <w:color w:val="000000" w:themeColor="text1"/>
        </w:rPr>
        <w:t xml:space="preserve">; </w:t>
      </w:r>
      <w:proofErr w:type="spellStart"/>
      <w:r w:rsidRPr="00850718">
        <w:rPr>
          <w:rFonts w:cs="Calibri"/>
          <w:bCs/>
          <w:color w:val="000000" w:themeColor="text1"/>
        </w:rPr>
        <w:t>RAapp</w:t>
      </w:r>
      <w:proofErr w:type="spellEnd"/>
      <w:r w:rsidRPr="00850718">
        <w:rPr>
          <w:rFonts w:cs="Calibri"/>
          <w:bCs/>
          <w:color w:val="000000" w:themeColor="text1"/>
        </w:rPr>
        <w:t>, right atrial appendage (donors, also called RA-SR in the main text); RAFW, right atrial free wall (donors, also called RA-SR in the main text); RA-</w:t>
      </w:r>
      <w:proofErr w:type="spellStart"/>
      <w:r w:rsidRPr="00850718">
        <w:rPr>
          <w:rFonts w:cs="Calibri"/>
          <w:bCs/>
          <w:color w:val="000000" w:themeColor="text1"/>
        </w:rPr>
        <w:t>persAF</w:t>
      </w:r>
      <w:proofErr w:type="spellEnd"/>
      <w:r w:rsidRPr="00850718">
        <w:rPr>
          <w:rFonts w:cs="Calibri"/>
          <w:bCs/>
          <w:color w:val="000000" w:themeColor="text1"/>
        </w:rPr>
        <w:t>,</w:t>
      </w:r>
      <w:r w:rsidRPr="00850718">
        <w:rPr>
          <w:color w:val="000000" w:themeColor="text1"/>
        </w:rPr>
        <w:t xml:space="preserve"> </w:t>
      </w:r>
      <w:r w:rsidRPr="00850718">
        <w:rPr>
          <w:rFonts w:cs="Calibri"/>
          <w:bCs/>
          <w:color w:val="000000" w:themeColor="text1"/>
        </w:rPr>
        <w:t>right atrium from patients with persistent AF; RA-SR, right atrium from patients with sinus rhythm.</w:t>
      </w:r>
      <w:r w:rsidR="00B65A4E">
        <w:rPr>
          <w:lang w:val="en-US"/>
        </w:rPr>
        <w:br w:type="page"/>
      </w:r>
    </w:p>
    <w:p w14:paraId="236F96BC" w14:textId="77777777" w:rsidR="00B65A4E" w:rsidRDefault="00B65A4E" w:rsidP="00B65A4E">
      <w:pPr>
        <w:spacing w:after="0" w:line="240" w:lineRule="auto"/>
        <w:jc w:val="both"/>
        <w:rPr>
          <w:rFonts w:cs="Calibri"/>
          <w:b/>
          <w:bCs/>
          <w:sz w:val="24"/>
        </w:rPr>
      </w:pPr>
      <w:r>
        <w:rPr>
          <w:rFonts w:cs="Calibri"/>
          <w:b/>
          <w:bCs/>
          <w:noProof/>
          <w:sz w:val="24"/>
          <w:lang w:eastAsia="en-GB"/>
        </w:rPr>
        <w:lastRenderedPageBreak/>
        <w:drawing>
          <wp:inline distT="0" distB="0" distL="0" distR="0" wp14:anchorId="2DE4A823" wp14:editId="38132487">
            <wp:extent cx="5731510" cy="7329170"/>
            <wp:effectExtent l="0" t="0" r="2540" b="508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4.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7329170"/>
                    </a:xfrm>
                    <a:prstGeom prst="rect">
                      <a:avLst/>
                    </a:prstGeom>
                  </pic:spPr>
                </pic:pic>
              </a:graphicData>
            </a:graphic>
          </wp:inline>
        </w:drawing>
      </w:r>
    </w:p>
    <w:p w14:paraId="434D8FD8" w14:textId="714CB712" w:rsidR="00753631" w:rsidRPr="004A4E01" w:rsidRDefault="00B65A4E" w:rsidP="004A4E01">
      <w:pPr>
        <w:spacing w:after="0" w:line="240" w:lineRule="auto"/>
        <w:jc w:val="both"/>
        <w:rPr>
          <w:rFonts w:cs="Calibri"/>
          <w:sz w:val="24"/>
          <w:lang w:val="en-US"/>
        </w:rPr>
      </w:pPr>
      <w:r w:rsidRPr="00850718">
        <w:rPr>
          <w:rFonts w:cs="Calibri"/>
          <w:b/>
          <w:sz w:val="24"/>
          <w:lang w:val="en-US"/>
        </w:rPr>
        <w:t xml:space="preserve">Fig. S3 </w:t>
      </w:r>
      <w:r w:rsidR="00C727B3" w:rsidRPr="00850718">
        <w:rPr>
          <w:rFonts w:cs="Calibri"/>
          <w:b/>
          <w:sz w:val="24"/>
          <w:lang w:val="en-US"/>
        </w:rPr>
        <w:t xml:space="preserve">Protein association network with pathway enrichment in the RA-AF proteome (full size). </w:t>
      </w:r>
      <w:r w:rsidR="00C727B3" w:rsidRPr="00850718">
        <w:rPr>
          <w:rFonts w:cs="Calibri"/>
          <w:sz w:val="24"/>
          <w:lang w:val="en-US"/>
        </w:rPr>
        <w:t>Each node represents a protein; node size indicates –log</w:t>
      </w:r>
      <w:r w:rsidR="00C727B3" w:rsidRPr="00850718">
        <w:rPr>
          <w:rFonts w:cs="Calibri"/>
          <w:sz w:val="24"/>
          <w:vertAlign w:val="subscript"/>
          <w:lang w:val="en-US"/>
        </w:rPr>
        <w:t>10</w:t>
      </w:r>
      <w:r w:rsidR="00C727B3" w:rsidRPr="00850718">
        <w:rPr>
          <w:rFonts w:cs="Calibri"/>
          <w:sz w:val="24"/>
          <w:lang w:val="en-US"/>
        </w:rPr>
        <w:t>(</w:t>
      </w:r>
      <w:r w:rsidR="00C727B3" w:rsidRPr="00850718">
        <w:rPr>
          <w:rFonts w:cs="Calibri"/>
          <w:i/>
          <w:sz w:val="24"/>
          <w:lang w:val="en-US"/>
        </w:rPr>
        <w:t>p</w:t>
      </w:r>
      <w:r w:rsidR="00C727B3" w:rsidRPr="00850718">
        <w:rPr>
          <w:rFonts w:cs="Calibri"/>
          <w:sz w:val="24"/>
          <w:lang w:val="en-US"/>
        </w:rPr>
        <w:t xml:space="preserve"> value), node </w:t>
      </w:r>
      <w:proofErr w:type="spellStart"/>
      <w:r w:rsidR="00C727B3" w:rsidRPr="00850718">
        <w:rPr>
          <w:rFonts w:cs="Calibri"/>
          <w:sz w:val="24"/>
          <w:lang w:val="en-US"/>
        </w:rPr>
        <w:t>colour</w:t>
      </w:r>
      <w:proofErr w:type="spellEnd"/>
      <w:r w:rsidR="00C727B3" w:rsidRPr="00850718">
        <w:rPr>
          <w:rFonts w:cs="Calibri"/>
          <w:sz w:val="24"/>
          <w:lang w:val="en-US"/>
        </w:rPr>
        <w:t xml:space="preserve"> indicates log</w:t>
      </w:r>
      <w:r w:rsidR="00C727B3" w:rsidRPr="00850718">
        <w:rPr>
          <w:rFonts w:cs="Calibri"/>
          <w:sz w:val="24"/>
          <w:vertAlign w:val="subscript"/>
          <w:lang w:val="en-US"/>
        </w:rPr>
        <w:t>2</w:t>
      </w:r>
      <w:r w:rsidR="00C727B3" w:rsidRPr="00850718">
        <w:rPr>
          <w:rFonts w:cs="Calibri"/>
          <w:sz w:val="24"/>
          <w:lang w:val="en-US"/>
        </w:rPr>
        <w:t xml:space="preserve"> fold change, and edge thickness reflects interaction confidence. KEGG pathway associations were assigned to each cluster. Statistical significance was assessed using generalized estimating equations with Benjamini–Hochberg correction. ECM, extracellular matrix; FC, fold change</w:t>
      </w:r>
      <w:r w:rsidRPr="00850718">
        <w:rPr>
          <w:rFonts w:cs="Calibri"/>
          <w:sz w:val="24"/>
          <w:lang w:val="en-US"/>
        </w:rPr>
        <w:t>.</w:t>
      </w:r>
      <w:r w:rsidRPr="00850718">
        <w:t xml:space="preserve"> </w:t>
      </w:r>
      <w:r w:rsidR="00753631">
        <w:rPr>
          <w:lang w:val="en-US"/>
        </w:rPr>
        <w:br w:type="page"/>
      </w:r>
    </w:p>
    <w:p w14:paraId="3196E1CF" w14:textId="77777777" w:rsidR="00753631" w:rsidRDefault="00753631" w:rsidP="00753631">
      <w:pPr>
        <w:pStyle w:val="ListParagraph"/>
        <w:ind w:left="0"/>
        <w:jc w:val="center"/>
        <w:rPr>
          <w:lang w:val="en-US"/>
        </w:rPr>
      </w:pPr>
      <w:r>
        <w:rPr>
          <w:noProof/>
          <w:lang w:eastAsia="en-GB"/>
        </w:rPr>
        <w:lastRenderedPageBreak/>
        <w:drawing>
          <wp:inline distT="0" distB="0" distL="0" distR="0" wp14:anchorId="2BACAB59" wp14:editId="1A3631A7">
            <wp:extent cx="5760720" cy="539369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VR round 3_new supplementary fig S4 (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5393690"/>
                    </a:xfrm>
                    <a:prstGeom prst="rect">
                      <a:avLst/>
                    </a:prstGeom>
                  </pic:spPr>
                </pic:pic>
              </a:graphicData>
            </a:graphic>
          </wp:inline>
        </w:drawing>
      </w:r>
    </w:p>
    <w:p w14:paraId="4ED28F3D" w14:textId="4D84C49B" w:rsidR="00194882" w:rsidRPr="004A4E01" w:rsidRDefault="00753631" w:rsidP="004A4E01">
      <w:pPr>
        <w:pStyle w:val="ListParagraph"/>
        <w:ind w:left="0"/>
        <w:jc w:val="both"/>
        <w:rPr>
          <w:lang w:val="en-US"/>
        </w:rPr>
      </w:pPr>
      <w:r w:rsidRPr="004E118E">
        <w:rPr>
          <w:b/>
          <w:lang w:val="en-US"/>
        </w:rPr>
        <w:t>Fig S4 Subcellular proteome model of RA-</w:t>
      </w:r>
      <w:proofErr w:type="spellStart"/>
      <w:r w:rsidRPr="004E118E">
        <w:rPr>
          <w:b/>
          <w:lang w:val="en-US"/>
        </w:rPr>
        <w:t>persAF</w:t>
      </w:r>
      <w:proofErr w:type="spellEnd"/>
      <w:r w:rsidRPr="004E118E">
        <w:rPr>
          <w:b/>
          <w:lang w:val="en-US"/>
        </w:rPr>
        <w:t xml:space="preserve"> (unadjusted). A, </w:t>
      </w:r>
      <w:r w:rsidRPr="004E118E">
        <w:rPr>
          <w:lang w:val="en-US"/>
        </w:rPr>
        <w:t>Schematic representation of an average right atrial appendage cardiomyocyte illustrating the subcellular distribution of protein mass fractions per cell, estimated using proteomic ruler approach. Values are normalized to total cellular protein content. Left: RA-SR (control). Right: RA-</w:t>
      </w:r>
      <w:proofErr w:type="spellStart"/>
      <w:r w:rsidRPr="004E118E">
        <w:rPr>
          <w:lang w:val="en-US"/>
        </w:rPr>
        <w:t>persAF</w:t>
      </w:r>
      <w:proofErr w:type="spellEnd"/>
      <w:r w:rsidRPr="004E118E">
        <w:rPr>
          <w:lang w:val="en-US"/>
        </w:rPr>
        <w:t>. In both panels, compartments are labeled with their absolute percentage contribution (%) to total protein mass per cell, enabling direct comparison between conditions. Please note that unassigned proteins were not included in the figure. Scatter plot comparing subcellular compartment protein mass fractions (%) derived from histone-adjusted proteomic ruler analysis (x-axis) and unadjusted raw LFQ-based analysis (y-axis) in RA-SR (</w:t>
      </w:r>
      <w:r w:rsidRPr="004E118E">
        <w:rPr>
          <w:b/>
          <w:lang w:val="en-US"/>
        </w:rPr>
        <w:t>B</w:t>
      </w:r>
      <w:r w:rsidRPr="004E118E">
        <w:rPr>
          <w:lang w:val="en-US"/>
        </w:rPr>
        <w:t>) and RA-</w:t>
      </w:r>
      <w:proofErr w:type="spellStart"/>
      <w:r w:rsidRPr="004E118E">
        <w:rPr>
          <w:lang w:val="en-US"/>
        </w:rPr>
        <w:t>persAF</w:t>
      </w:r>
      <w:proofErr w:type="spellEnd"/>
      <w:r w:rsidRPr="004E118E">
        <w:rPr>
          <w:lang w:val="en-US"/>
        </w:rPr>
        <w:t xml:space="preserve"> (</w:t>
      </w:r>
      <w:r w:rsidRPr="004E118E">
        <w:rPr>
          <w:b/>
          <w:lang w:val="en-US"/>
        </w:rPr>
        <w:t>C</w:t>
      </w:r>
      <w:r w:rsidRPr="004E118E">
        <w:rPr>
          <w:lang w:val="en-US"/>
        </w:rPr>
        <w:t>). The diagonal line indicates the line of identity (Y = X). Pearson correlation coefficients (r</w:t>
      </w:r>
      <w:r w:rsidRPr="004E118E">
        <w:rPr>
          <w:vertAlign w:val="superscript"/>
          <w:lang w:val="en-US"/>
        </w:rPr>
        <w:t>2</w:t>
      </w:r>
      <w:r w:rsidRPr="004E118E">
        <w:rPr>
          <w:lang w:val="en-US"/>
        </w:rPr>
        <w:t xml:space="preserve">) and </w:t>
      </w:r>
      <w:r w:rsidRPr="004E118E">
        <w:rPr>
          <w:i/>
          <w:lang w:val="en-US"/>
        </w:rPr>
        <w:t>p</w:t>
      </w:r>
      <w:r w:rsidRPr="004E118E">
        <w:rPr>
          <w:lang w:val="en-US"/>
        </w:rPr>
        <w:t xml:space="preserve"> values are shown. ECM, extracellular matrix; ER, endoplasmic reticulum; RA-</w:t>
      </w:r>
      <w:proofErr w:type="spellStart"/>
      <w:r w:rsidRPr="004E118E">
        <w:rPr>
          <w:lang w:val="en-US"/>
        </w:rPr>
        <w:t>persAF</w:t>
      </w:r>
      <w:proofErr w:type="spellEnd"/>
      <w:r w:rsidRPr="004E118E">
        <w:rPr>
          <w:lang w:val="en-US"/>
        </w:rPr>
        <w:t xml:space="preserve">, right atrium from patients with </w:t>
      </w:r>
      <w:proofErr w:type="spellStart"/>
      <w:r w:rsidRPr="004E118E">
        <w:rPr>
          <w:lang w:val="en-US"/>
        </w:rPr>
        <w:t>persAF</w:t>
      </w:r>
      <w:proofErr w:type="spellEnd"/>
      <w:r w:rsidRPr="004E118E">
        <w:rPr>
          <w:lang w:val="en-US"/>
        </w:rPr>
        <w:t>; RA-SR, right atrium from patients with sinus rhythm. The figure was created with BioRender.com.</w:t>
      </w:r>
      <w:r w:rsidR="00194882" w:rsidRPr="00850718">
        <w:rPr>
          <w:lang w:val="en-US"/>
        </w:rPr>
        <w:br w:type="page"/>
      </w:r>
    </w:p>
    <w:p w14:paraId="4509B1BF" w14:textId="10436FD0" w:rsidR="00C00935" w:rsidRPr="00850718" w:rsidRDefault="008B472B" w:rsidP="00C00935">
      <w:pPr>
        <w:spacing w:line="259" w:lineRule="auto"/>
        <w:jc w:val="center"/>
        <w:rPr>
          <w:lang w:val="en-US"/>
        </w:rPr>
      </w:pPr>
      <w:r w:rsidRPr="00850718">
        <w:rPr>
          <w:noProof/>
          <w:lang w:eastAsia="en-GB"/>
        </w:rPr>
        <w:lastRenderedPageBreak/>
        <w:drawing>
          <wp:inline distT="0" distB="0" distL="0" distR="0" wp14:anchorId="06253351" wp14:editId="73191511">
            <wp:extent cx="5731510" cy="3669030"/>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VR Revision_Fig. S2 A_V markers (1).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669030"/>
                    </a:xfrm>
                    <a:prstGeom prst="rect">
                      <a:avLst/>
                    </a:prstGeom>
                  </pic:spPr>
                </pic:pic>
              </a:graphicData>
            </a:graphic>
          </wp:inline>
        </w:drawing>
      </w:r>
    </w:p>
    <w:p w14:paraId="696CA1B2" w14:textId="6BC79B6B" w:rsidR="00194882" w:rsidRPr="004A4E01" w:rsidRDefault="00C00935" w:rsidP="004A4E01">
      <w:pPr>
        <w:jc w:val="both"/>
        <w:rPr>
          <w:rFonts w:cs="Calibri"/>
          <w:bCs/>
        </w:rPr>
      </w:pPr>
      <w:r w:rsidRPr="00850718">
        <w:rPr>
          <w:rFonts w:cs="Calibri"/>
          <w:b/>
          <w:bCs/>
        </w:rPr>
        <w:t>Fig. S</w:t>
      </w:r>
      <w:r w:rsidR="00753631">
        <w:rPr>
          <w:rFonts w:cs="Calibri"/>
          <w:b/>
          <w:bCs/>
        </w:rPr>
        <w:t>5</w:t>
      </w:r>
      <w:r w:rsidRPr="00850718">
        <w:rPr>
          <w:rFonts w:cs="Calibri"/>
          <w:b/>
          <w:bCs/>
        </w:rPr>
        <w:t xml:space="preserve"> </w:t>
      </w:r>
      <w:r w:rsidR="008B7913" w:rsidRPr="00850718">
        <w:rPr>
          <w:rFonts w:cs="Calibri"/>
          <w:b/>
          <w:bCs/>
        </w:rPr>
        <w:t xml:space="preserve">Derivation of robust </w:t>
      </w:r>
      <w:r w:rsidR="004D276F" w:rsidRPr="00850718">
        <w:rPr>
          <w:rFonts w:cs="Calibri"/>
          <w:b/>
          <w:bCs/>
        </w:rPr>
        <w:t xml:space="preserve">human </w:t>
      </w:r>
      <w:r w:rsidR="008B7913" w:rsidRPr="00850718">
        <w:rPr>
          <w:rFonts w:cs="Calibri"/>
          <w:b/>
          <w:bCs/>
        </w:rPr>
        <w:t>atrial and ventricular proteome marker sets</w:t>
      </w:r>
      <w:r w:rsidRPr="00850718">
        <w:rPr>
          <w:rFonts w:cs="Calibri"/>
          <w:b/>
          <w:bCs/>
        </w:rPr>
        <w:t>.</w:t>
      </w:r>
      <w:r w:rsidRPr="00850718">
        <w:rPr>
          <w:rFonts w:cs="Calibri"/>
          <w:bCs/>
        </w:rPr>
        <w:t xml:space="preserve"> </w:t>
      </w:r>
      <w:r w:rsidR="008B7913" w:rsidRPr="00850718">
        <w:rPr>
          <w:rFonts w:cs="Calibri"/>
          <w:bCs/>
        </w:rPr>
        <w:t xml:space="preserve">To obtain robust </w:t>
      </w:r>
      <w:r w:rsidR="004D276F" w:rsidRPr="00850718">
        <w:rPr>
          <w:rFonts w:cs="Calibri"/>
          <w:bCs/>
        </w:rPr>
        <w:t xml:space="preserve">human </w:t>
      </w:r>
      <w:r w:rsidR="008B7913" w:rsidRPr="00850718">
        <w:rPr>
          <w:rFonts w:cs="Calibri"/>
          <w:bCs/>
        </w:rPr>
        <w:t xml:space="preserve">atrial and ventricular proteome markers, we employed the </w:t>
      </w:r>
      <w:r w:rsidR="004D276F" w:rsidRPr="00850718">
        <w:rPr>
          <w:rFonts w:cs="Calibri"/>
          <w:bCs/>
        </w:rPr>
        <w:t>atrial and ventricular proteome markers available from</w:t>
      </w:r>
      <w:r w:rsidR="008B7913" w:rsidRPr="00850718">
        <w:rPr>
          <w:rFonts w:cs="Calibri"/>
          <w:bCs/>
        </w:rPr>
        <w:t xml:space="preserve"> </w:t>
      </w:r>
      <w:proofErr w:type="spellStart"/>
      <w:r w:rsidR="008B7913" w:rsidRPr="00850718">
        <w:rPr>
          <w:rFonts w:cs="Calibri"/>
          <w:bCs/>
        </w:rPr>
        <w:t>from</w:t>
      </w:r>
      <w:proofErr w:type="spellEnd"/>
      <w:r w:rsidR="008B7913" w:rsidRPr="00850718">
        <w:rPr>
          <w:rFonts w:cs="Calibri"/>
          <w:bCs/>
        </w:rPr>
        <w:t xml:space="preserve"> two</w:t>
      </w:r>
      <w:r w:rsidR="004D276F" w:rsidRPr="00850718">
        <w:rPr>
          <w:rFonts w:cs="Calibri"/>
          <w:bCs/>
        </w:rPr>
        <w:t xml:space="preserve"> independent</w:t>
      </w:r>
      <w:r w:rsidR="008B7913" w:rsidRPr="00850718">
        <w:rPr>
          <w:rFonts w:cs="Calibri"/>
          <w:bCs/>
        </w:rPr>
        <w:t xml:space="preserve"> published </w:t>
      </w:r>
      <w:r w:rsidR="000F334B" w:rsidRPr="00850718">
        <w:rPr>
          <w:rFonts w:cs="Calibri"/>
          <w:bCs/>
        </w:rPr>
        <w:t xml:space="preserve">cardiac proteome </w:t>
      </w:r>
      <w:r w:rsidR="008B7913" w:rsidRPr="00850718">
        <w:rPr>
          <w:rFonts w:cs="Calibri"/>
          <w:bCs/>
        </w:rPr>
        <w:t>studies</w:t>
      </w:r>
      <w:r w:rsidR="008B7913" w:rsidRPr="00850718">
        <w:rPr>
          <w:rFonts w:cs="Calibri"/>
          <w:bCs/>
        </w:rPr>
        <w:fldChar w:fldCharType="begin" w:fldLock="1"/>
      </w:r>
      <w:r w:rsidR="002E0F2F" w:rsidRPr="00850718">
        <w:rPr>
          <w:rFonts w:cs="Calibri"/>
          <w:bCs/>
        </w:rPr>
        <w:instrText>ADDIN CSL_CITATION {"citationItems":[{"id":"ITEM-1","itemData":{"DOI":"10.1038/s41467-017-01747-2","ISSN":"20411723","abstract":"The heart is a central human organ and its diseases are the leading cause of death worldwide, but an in-depth knowledge of the identity and quantity of its constituent proteins is still lacking. Here, we determine the healthy human heart proteome by measuring 16 anatomical regions and three major cardiac cell types by high-resolution mass spectrometry-based proteomics. From low microgram sample amounts, we quantify over 10,700 proteins in this high dynamic range tissue. We combine copy numbers per cell with protein organellar assignments to build a model of the heart proteome at the subcellular level. Analysis of cardiac fibroblasts identifies cellular receptors as potential cell surface markers. Application of our heart map to atrial fibrillation reveals individually distinct mitochondrial dysfunctions. The heart map is available at maxqb.biochem.mpg.de as a resource for future analyses of normal heart function and disease.","author":[{"dropping-particle":"","family":"Doll","given":"Sophia","non-dropping-particle":"","parse-names":false,"suffix":""},{"dropping-particle":"","family":"Dreßen","given":"Martina","non-dropping-particle":"","parse-names":false,"suffix":""},{"dropping-particle":"","family":"Geyer","given":"Philipp E.","non-dropping-particle":"","parse-names":false,"suffix":""},{"dropping-particle":"","family":"Itzhak","given":"Daniel N.","non-dropping-particle":"","parse-names":false,"suffix":""},{"dropping-particle":"","family":"Braun","given":"Christian","non-dropping-particle":"","parse-names":false,"suffix":""},{"dropping-particle":"","family":"Doppler","given":"Stefanie A.","non-dropping-particle":"","parse-names":false,"suffix":""},{"dropping-particle":"","family":"Meier","given":"Florian","non-dropping-particle":"","parse-names":false,"suffix":""},{"dropping-particle":"","family":"Deutsch","given":"Marcus Andre","non-dropping-particle":"","parse-names":false,"suffix":""},{"dropping-particle":"","family":"Lahm","given":"Harald","non-dropping-particle":"","parse-names":false,"suffix":""},{"dropping-particle":"","family":"Lange","given":"Rüdiger","non-dropping-particle":"","parse-names":false,"suffix":""},{"dropping-particle":"","family":"Krane","given":"Markus","non-dropping-particle":"","parse-names":false,"suffix":""},{"dropping-particle":"","family":"Mann","given":"Matthias","non-dropping-particle":"","parse-names":false,"suffix":""}],"container-title":"Nature Communications","id":"ITEM-1","issue":"1","issued":{"date-parts":[["2017"]]},"title":"Region and cell-type resolved quantitative proteomic map of the human heart","type":"article-journal","volume":"8"},"uris":["http://www.mendeley.com/documents/?uuid=af5bfa9a-22b9-3e1d-bf0f-714e9789938e"]},{"id":"ITEM-2","itemData":{"DOI":"10.1371/journal.pbio.3001144","ISSN":"15457885","abstract":"AU Delineating: Pleaseconfirmthatallheadinglevelsarerepresentedcorrectly human cardiac pathologies and their basic molecular : mechanisms relies on research conducted in model organisms. Yet translating findings from preclinical models to humans present a significant challenge, in part due to differences in cardiac protein expression between humans and model organisms. Proteins immediately determine cellular function, yet their large-scale investigation in hearts has lagged behind those of genes and transcripts. Here, we set out to bridge this knowledge gap: By analyzing protein profiles in humans and commonly used model organisms across cardiac chambers, we determine their commonalities and regional differences. We analyzed cardiac tissue from each chamber of human, pig, horse, rat, mouse, and zebrafish AU : PleasenotethatasperPLOSstyle in biological replicates. Using ; thetermzebradanioisprefe mass spectrometry–based proteomics workflows, we measured and evaluated the abundance of approximately 7,000 proteins in each species. The resulting knowledgebase of cardiac protein signatures is accessible through an online database: atlas.cardiacproteomics.com. Our combined analysis allows for quantitative evaluation of protein abundances across cardiac chambers, as well as comparisons of cardiac protein profiles across model organisms. Up to a quarter of proteins with differential abundances between atria and ventricles showed opposite chamber-specific enrichment between species; these included numerous proteins implicated in cardiac disease. The generated proteomics resource facilitates translational prospects of cardiac studies from model organisms to humans by comparisons of disease-linked protein networks across species.","author":[{"dropping-particle":"","family":"Linscheid","given":"Nora","non-dropping-particle":"","parse-names":false,"suffix":""},{"dropping-particle":"","family":"Santos","given":"Alberto","non-dropping-particle":"","parse-names":false,"suffix":""},{"dropping-particle":"","family":"Poulsen","given":"Pi Camilla","non-dropping-particle":"","parse-names":false,"suffix":""},{"dropping-particle":"","family":"Mills","given":"Robert W.","non-dropping-particle":"","parse-names":false,"suffix":""},{"dropping-particle":"","family":"Calloe","given":"Kirstine","non-dropping-particle":"","parse-names":false,"suffix":""},{"dropping-particle":"","family":"Leurs","given":"Ulrike","non-dropping-particle":"","parse-names":false,"suffix":""},{"dropping-particle":"","family":"Ye","given":"Johan Z.","non-dropping-particle":"","parse-names":false,"suffix":""},{"dropping-particle":"","family":"Stolte","given":"Christian","non-dropping-particle":"","parse-names":false,"suffix":""},{"dropping-particle":"","family":"Thomsen","given":"Morten B.","non-dropping-particle":"","parse-names":false,"suffix":""},{"dropping-particle":"","family":"Bentzen","given":"Bo H.","non-dropping-particle":"","parse-names":false,"suffix":""},{"dropping-particle":"","family":"Lundegaard","given":"Pia R.","non-dropping-particle":"","parse-names":false,"suffix":""},{"dropping-particle":"","family":"Olesen","given":"Morten S.","non-dropping-particle":"","parse-names":false,"suffix":""},{"dropping-particle":"","family":"Jensen","given":"Lars J.","non-dropping-particle":"","parse-names":false,"suffix":""},{"dropping-particle":"V.","family":"Olsen","given":"Jesper","non-dropping-particle":"","parse-names":false,"suffix":""},{"dropping-particle":"","family":"Lundby","given":"Alicia","non-dropping-particle":"","parse-names":false,"suffix":""}],"container-title":"PLoS Biology","id":"ITEM-2","issue":"4","issued":{"date-parts":[["2021"]]},"title":"Quantitative proteome comparison of human hearts with those of model organisms","type":"article-journal","volume":"19"},"uris":["http://www.mendeley.com/documents/?uuid=9e2e0081-db77-3ecf-901f-d8b438a587c1"]}],"mendeley":{"formattedCitation":"&lt;sup&gt;6,23&lt;/sup&gt;","plainTextFormattedCitation":"6,23","previouslyFormattedCitation":"&lt;sup&gt;6,23&lt;/sup&gt;"},"properties":{"noteIndex":0},"schema":"https://github.com/citation-style-language/schema/raw/master/csl-citation.json"}</w:instrText>
      </w:r>
      <w:r w:rsidR="008B7913" w:rsidRPr="00850718">
        <w:rPr>
          <w:rFonts w:cs="Calibri"/>
          <w:bCs/>
        </w:rPr>
        <w:fldChar w:fldCharType="separate"/>
      </w:r>
      <w:r w:rsidR="009F2831" w:rsidRPr="00850718">
        <w:rPr>
          <w:rFonts w:cs="Calibri"/>
          <w:bCs/>
          <w:noProof/>
          <w:vertAlign w:val="superscript"/>
        </w:rPr>
        <w:t>6,23</w:t>
      </w:r>
      <w:r w:rsidR="008B7913" w:rsidRPr="00850718">
        <w:rPr>
          <w:rFonts w:cs="Calibri"/>
          <w:bCs/>
        </w:rPr>
        <w:fldChar w:fldCharType="end"/>
      </w:r>
      <w:r w:rsidR="004D276F" w:rsidRPr="00850718">
        <w:rPr>
          <w:rFonts w:cs="Calibri"/>
          <w:bCs/>
        </w:rPr>
        <w:t xml:space="preserve"> and identified the overlapping markers (top). </w:t>
      </w:r>
      <w:r w:rsidR="008B7913" w:rsidRPr="00850718">
        <w:rPr>
          <w:rFonts w:cs="Calibri"/>
          <w:bCs/>
        </w:rPr>
        <w:t xml:space="preserve">These overlapping proteins were </w:t>
      </w:r>
      <w:r w:rsidR="004D276F" w:rsidRPr="00850718">
        <w:rPr>
          <w:rFonts w:cs="Calibri"/>
          <w:bCs/>
        </w:rPr>
        <w:t xml:space="preserve">further validated using </w:t>
      </w:r>
      <w:r w:rsidR="00E56661" w:rsidRPr="00850718">
        <w:rPr>
          <w:rFonts w:cs="Calibri"/>
          <w:bCs/>
        </w:rPr>
        <w:t xml:space="preserve">the </w:t>
      </w:r>
      <w:r w:rsidR="008B7913" w:rsidRPr="00850718">
        <w:rPr>
          <w:rFonts w:cs="Calibri"/>
          <w:bCs/>
        </w:rPr>
        <w:t xml:space="preserve">TISSUES Experimental 2025 </w:t>
      </w:r>
      <w:r w:rsidR="004D276F" w:rsidRPr="00850718">
        <w:rPr>
          <w:rFonts w:cs="Calibri"/>
          <w:bCs/>
        </w:rPr>
        <w:t>database</w:t>
      </w:r>
      <w:r w:rsidR="008B7913" w:rsidRPr="00850718">
        <w:rPr>
          <w:rFonts w:cs="Calibri"/>
          <w:bCs/>
        </w:rPr>
        <w:t xml:space="preserve">, </w:t>
      </w:r>
      <w:r w:rsidR="004D276F" w:rsidRPr="00850718">
        <w:rPr>
          <w:rFonts w:cs="Calibri"/>
          <w:bCs/>
        </w:rPr>
        <w:t>which confirmed their specificity to atrial and ventricular heart chambers</w:t>
      </w:r>
      <w:r w:rsidRPr="00850718">
        <w:rPr>
          <w:rFonts w:cs="Calibri"/>
          <w:bCs/>
          <w:color w:val="000000" w:themeColor="text1"/>
        </w:rPr>
        <w:t xml:space="preserve">. </w:t>
      </w:r>
      <w:r w:rsidR="004D276F" w:rsidRPr="00850718">
        <w:rPr>
          <w:rFonts w:cs="Calibri"/>
          <w:bCs/>
        </w:rPr>
        <w:t>FDR</w:t>
      </w:r>
      <w:r w:rsidRPr="00850718">
        <w:rPr>
          <w:rFonts w:cs="Calibri"/>
          <w:bCs/>
        </w:rPr>
        <w:t xml:space="preserve">, </w:t>
      </w:r>
      <w:r w:rsidR="004D276F" w:rsidRPr="00850718">
        <w:rPr>
          <w:rFonts w:cs="Calibri"/>
          <w:bCs/>
        </w:rPr>
        <w:t>false discovery rate.</w:t>
      </w:r>
      <w:r w:rsidR="00194882">
        <w:rPr>
          <w:lang w:val="en-US"/>
        </w:rPr>
        <w:br w:type="page"/>
      </w:r>
    </w:p>
    <w:p w14:paraId="64C63FD7" w14:textId="7AD9C4E1" w:rsidR="00EB254F" w:rsidRDefault="00DF170A" w:rsidP="002E0F2F">
      <w:pPr>
        <w:pStyle w:val="Heading1"/>
        <w:rPr>
          <w:lang w:val="en-US"/>
        </w:rPr>
      </w:pPr>
      <w:bookmarkStart w:id="23" w:name="_Toc218605973"/>
      <w:r>
        <w:rPr>
          <w:lang w:val="en-US"/>
        </w:rPr>
        <w:lastRenderedPageBreak/>
        <w:t>References</w:t>
      </w:r>
      <w:bookmarkEnd w:id="23"/>
    </w:p>
    <w:p w14:paraId="3F4FD50E" w14:textId="577B6EF5" w:rsidR="002E0F2F" w:rsidRPr="00850718" w:rsidRDefault="002E0F2F" w:rsidP="00FD30DE">
      <w:pPr>
        <w:widowControl w:val="0"/>
        <w:autoSpaceDE w:val="0"/>
        <w:autoSpaceDN w:val="0"/>
        <w:adjustRightInd w:val="0"/>
        <w:jc w:val="both"/>
        <w:rPr>
          <w:rFonts w:cs="Times New Roman"/>
          <w:noProof/>
          <w:szCs w:val="24"/>
        </w:rPr>
      </w:pPr>
      <w:r w:rsidRPr="00850718">
        <w:rPr>
          <w:lang w:val="en-US"/>
        </w:rPr>
        <w:fldChar w:fldCharType="begin" w:fldLock="1"/>
      </w:r>
      <w:r w:rsidRPr="00850718">
        <w:rPr>
          <w:lang w:val="en-US"/>
        </w:rPr>
        <w:instrText xml:space="preserve">ADDIN Mendeley Bibliography CSL_BIBLIOGRAPHY </w:instrText>
      </w:r>
      <w:r w:rsidRPr="00850718">
        <w:rPr>
          <w:lang w:val="en-US"/>
        </w:rPr>
        <w:fldChar w:fldCharType="separate"/>
      </w:r>
      <w:r w:rsidRPr="00850718">
        <w:rPr>
          <w:rFonts w:cs="Times New Roman"/>
          <w:noProof/>
          <w:szCs w:val="24"/>
        </w:rPr>
        <w:t xml:space="preserve">1. Liang KY, Zeger SL. Longitudinal data analysis using generalized linear models. </w:t>
      </w:r>
      <w:r w:rsidRPr="00850718">
        <w:rPr>
          <w:rFonts w:cs="Times New Roman"/>
          <w:i/>
          <w:iCs/>
          <w:noProof/>
          <w:szCs w:val="24"/>
        </w:rPr>
        <w:t>Biometrika</w:t>
      </w:r>
      <w:r w:rsidRPr="00850718">
        <w:rPr>
          <w:rFonts w:cs="Times New Roman"/>
          <w:noProof/>
          <w:szCs w:val="24"/>
        </w:rPr>
        <w:t xml:space="preserve">. 1986;73(1):13–22. </w:t>
      </w:r>
    </w:p>
    <w:p w14:paraId="74AD3D4B" w14:textId="3F23A7F5" w:rsidR="002E0F2F" w:rsidRPr="00850718" w:rsidRDefault="002E0F2F" w:rsidP="00FD30DE">
      <w:pPr>
        <w:widowControl w:val="0"/>
        <w:autoSpaceDE w:val="0"/>
        <w:autoSpaceDN w:val="0"/>
        <w:adjustRightInd w:val="0"/>
        <w:jc w:val="both"/>
        <w:rPr>
          <w:rFonts w:cs="Times New Roman"/>
          <w:noProof/>
          <w:szCs w:val="24"/>
        </w:rPr>
      </w:pPr>
      <w:r w:rsidRPr="00850718">
        <w:rPr>
          <w:rFonts w:cs="Times New Roman"/>
          <w:noProof/>
          <w:szCs w:val="24"/>
        </w:rPr>
        <w:t xml:space="preserve">2. Halekoh U, Højsgaard S, Yan J. The R package geepack for generalized estimating equations. </w:t>
      </w:r>
      <w:r w:rsidRPr="00850718">
        <w:rPr>
          <w:rFonts w:cs="Times New Roman"/>
          <w:i/>
          <w:iCs/>
          <w:noProof/>
          <w:szCs w:val="24"/>
        </w:rPr>
        <w:t>J Stat Softw</w:t>
      </w:r>
      <w:r w:rsidRPr="00850718">
        <w:rPr>
          <w:rFonts w:cs="Times New Roman"/>
          <w:noProof/>
          <w:szCs w:val="24"/>
        </w:rPr>
        <w:t xml:space="preserve">. 2006;15(2):1–11. </w:t>
      </w:r>
    </w:p>
    <w:p w14:paraId="351563D4" w14:textId="754FE497" w:rsidR="002E0F2F" w:rsidRPr="00850718" w:rsidRDefault="002E0F2F" w:rsidP="00FD30DE">
      <w:pPr>
        <w:widowControl w:val="0"/>
        <w:autoSpaceDE w:val="0"/>
        <w:autoSpaceDN w:val="0"/>
        <w:adjustRightInd w:val="0"/>
        <w:jc w:val="both"/>
        <w:rPr>
          <w:rFonts w:cs="Times New Roman"/>
          <w:noProof/>
          <w:szCs w:val="24"/>
        </w:rPr>
      </w:pPr>
      <w:r w:rsidRPr="00850718">
        <w:rPr>
          <w:rFonts w:cs="Times New Roman"/>
          <w:noProof/>
          <w:szCs w:val="24"/>
        </w:rPr>
        <w:t xml:space="preserve">3. Benjamini Y, Hochberg Y. Controlling the False Discovery Rate: A Practical and Powerful Approach to Multiple Testing. </w:t>
      </w:r>
      <w:r w:rsidRPr="00850718">
        <w:rPr>
          <w:rFonts w:cs="Times New Roman"/>
          <w:i/>
          <w:iCs/>
          <w:noProof/>
          <w:szCs w:val="24"/>
        </w:rPr>
        <w:t>J R Stat Soc Ser B Stat Methodol</w:t>
      </w:r>
      <w:r w:rsidRPr="00850718">
        <w:rPr>
          <w:rFonts w:cs="Times New Roman"/>
          <w:noProof/>
          <w:szCs w:val="24"/>
        </w:rPr>
        <w:t xml:space="preserve">. 1995;57(1):289–300. </w:t>
      </w:r>
    </w:p>
    <w:p w14:paraId="10A37FFB" w14:textId="1DCF86BF" w:rsidR="002E0F2F" w:rsidRPr="00850718" w:rsidRDefault="002E0F2F" w:rsidP="00FD30DE">
      <w:pPr>
        <w:widowControl w:val="0"/>
        <w:autoSpaceDE w:val="0"/>
        <w:autoSpaceDN w:val="0"/>
        <w:adjustRightInd w:val="0"/>
        <w:jc w:val="both"/>
        <w:rPr>
          <w:rFonts w:cs="Times New Roman"/>
          <w:noProof/>
          <w:szCs w:val="24"/>
        </w:rPr>
      </w:pPr>
      <w:r w:rsidRPr="00850718">
        <w:rPr>
          <w:rFonts w:cs="Times New Roman"/>
          <w:noProof/>
          <w:szCs w:val="24"/>
        </w:rPr>
        <w:t xml:space="preserve">4. Wiśniewski JR, Hein MY, Cox J, Mann M. A “proteomic ruler” for protein copy number and concentration estimation without spike-in standards. </w:t>
      </w:r>
      <w:r w:rsidRPr="00850718">
        <w:rPr>
          <w:rFonts w:cs="Times New Roman"/>
          <w:i/>
          <w:iCs/>
          <w:noProof/>
          <w:szCs w:val="24"/>
        </w:rPr>
        <w:t>Mol Cell Proteomics</w:t>
      </w:r>
      <w:r w:rsidRPr="00850718">
        <w:rPr>
          <w:rFonts w:cs="Times New Roman"/>
          <w:noProof/>
          <w:szCs w:val="24"/>
        </w:rPr>
        <w:t xml:space="preserve">. 2014;13(11):3497-3506. </w:t>
      </w:r>
    </w:p>
    <w:p w14:paraId="6B7169FE" w14:textId="4A1CCF37" w:rsidR="002E0F2F" w:rsidRPr="00850718" w:rsidRDefault="002E0F2F" w:rsidP="00FD30DE">
      <w:pPr>
        <w:widowControl w:val="0"/>
        <w:autoSpaceDE w:val="0"/>
        <w:autoSpaceDN w:val="0"/>
        <w:adjustRightInd w:val="0"/>
        <w:jc w:val="both"/>
        <w:rPr>
          <w:rFonts w:cs="Times New Roman"/>
          <w:noProof/>
          <w:szCs w:val="24"/>
        </w:rPr>
      </w:pPr>
      <w:r w:rsidRPr="00850718">
        <w:rPr>
          <w:rFonts w:cs="Times New Roman"/>
          <w:noProof/>
          <w:szCs w:val="24"/>
        </w:rPr>
        <w:t xml:space="preserve">5. Thul PJ, Akesson L, Wiking M, Mahdessian D, Geladaki A, Ait Blal H, Alm T, Asplund A, Björk L, Breckels LM, Bäckström A, Danielsson F, Fagerberg L, Fall J, Gatto L, Gnann C, Hober S, Hjelmare M, Johansson F, Lee S, Lindskog C, Mulder J, Mulvey CM, Nilsson P, Oksvold P, Rockberg J, Schutten R, Schwenk JM, Sivertsson A, Sjöstedt E, Skogs M, Stadler C, Sullivan DP, Tegel H, Winsnes C, Zhang C, Zwahlen M, Mardinoglu A, Pontén F, Von Feilitzen K, Lilley KS, Uhlén M, Lundberg E. A subcellular map of the human proteome. </w:t>
      </w:r>
      <w:r w:rsidRPr="00850718">
        <w:rPr>
          <w:rFonts w:cs="Times New Roman"/>
          <w:i/>
          <w:iCs/>
          <w:noProof/>
          <w:szCs w:val="24"/>
        </w:rPr>
        <w:t>Science</w:t>
      </w:r>
      <w:r w:rsidRPr="00850718">
        <w:rPr>
          <w:rFonts w:cs="Times New Roman"/>
          <w:iCs/>
          <w:noProof/>
          <w:szCs w:val="24"/>
        </w:rPr>
        <w:t>. 2017;356(6340):eaal332.</w:t>
      </w:r>
    </w:p>
    <w:p w14:paraId="34888080" w14:textId="15BE1978" w:rsidR="002E0F2F" w:rsidRPr="00850718" w:rsidRDefault="002E0F2F" w:rsidP="00FD30DE">
      <w:pPr>
        <w:jc w:val="both"/>
        <w:rPr>
          <w:rFonts w:cs="Arial"/>
        </w:rPr>
      </w:pPr>
      <w:r w:rsidRPr="00850718">
        <w:rPr>
          <w:rFonts w:cs="Calibri"/>
          <w:noProof/>
          <w:szCs w:val="24"/>
        </w:rPr>
        <w:t>6.</w:t>
      </w:r>
      <w:r w:rsidRPr="00850718">
        <w:rPr>
          <w:rFonts w:cs="Arial"/>
        </w:rPr>
        <w:t xml:space="preserve"> Doll S, Dreßen M, Geyer PE, Itzhak DN, Braun C, Doppler SA, Meier F, Deutsch MA, Lahm H, Lange R, Krane M, Mann M. Region and cell-type resolved quantitative proteomic map of the human heart. </w:t>
      </w:r>
      <w:r w:rsidRPr="00850718">
        <w:rPr>
          <w:rFonts w:cs="Arial"/>
          <w:i/>
        </w:rPr>
        <w:t>Nat Commun</w:t>
      </w:r>
      <w:r w:rsidRPr="00850718">
        <w:rPr>
          <w:rFonts w:cs="Arial"/>
        </w:rPr>
        <w:t>. 2017;8(1):1469.</w:t>
      </w:r>
    </w:p>
    <w:p w14:paraId="7AE7C5BE" w14:textId="56BE4E10" w:rsidR="002E0F2F" w:rsidRPr="00850718" w:rsidRDefault="002E0F2F" w:rsidP="00FD30DE">
      <w:pPr>
        <w:widowControl w:val="0"/>
        <w:autoSpaceDE w:val="0"/>
        <w:autoSpaceDN w:val="0"/>
        <w:adjustRightInd w:val="0"/>
        <w:jc w:val="both"/>
        <w:rPr>
          <w:rFonts w:cs="Times New Roman"/>
          <w:noProof/>
          <w:szCs w:val="24"/>
        </w:rPr>
      </w:pPr>
      <w:r w:rsidRPr="00850718">
        <w:rPr>
          <w:rFonts w:cs="Times New Roman"/>
          <w:noProof/>
          <w:szCs w:val="24"/>
        </w:rPr>
        <w:t xml:space="preserve">7. Itzhak DN, Tyanova S, Cox J, Borner GHH. Global, quantitative and dynamic mapping of protein subcellular localization. </w:t>
      </w:r>
      <w:r w:rsidRPr="00850718">
        <w:rPr>
          <w:rFonts w:cs="Times New Roman"/>
          <w:i/>
          <w:iCs/>
          <w:noProof/>
          <w:szCs w:val="24"/>
        </w:rPr>
        <w:t>Elife</w:t>
      </w:r>
      <w:r w:rsidRPr="00850718">
        <w:rPr>
          <w:rFonts w:cs="Times New Roman"/>
          <w:noProof/>
          <w:szCs w:val="24"/>
        </w:rPr>
        <w:t xml:space="preserve">. 2016; 5:e16950. </w:t>
      </w:r>
    </w:p>
    <w:p w14:paraId="17AD49AC" w14:textId="7AE7A958" w:rsidR="002E0F2F" w:rsidRPr="00850718" w:rsidRDefault="002E0F2F" w:rsidP="00FD30DE">
      <w:pPr>
        <w:jc w:val="both"/>
        <w:rPr>
          <w:rFonts w:cs="Arial"/>
        </w:rPr>
      </w:pPr>
      <w:r w:rsidRPr="00850718">
        <w:rPr>
          <w:rFonts w:cs="Arial"/>
        </w:rPr>
        <w:t xml:space="preserve">8. Tyanova S, Temu T, Sinitcyn P, Carlson A, Hein MY, Geiger T, Mann M, Cox J. The Perseus computational platform for comprehensive analysis of (prote)omics data. </w:t>
      </w:r>
      <w:r w:rsidRPr="00850718">
        <w:rPr>
          <w:rFonts w:cs="Arial"/>
          <w:i/>
        </w:rPr>
        <w:t>Nat Methods</w:t>
      </w:r>
      <w:r w:rsidRPr="00850718">
        <w:rPr>
          <w:rFonts w:cs="Arial"/>
        </w:rPr>
        <w:t>. 2016;13(9):731–740.</w:t>
      </w:r>
    </w:p>
    <w:p w14:paraId="688B6B54" w14:textId="5B70856B" w:rsidR="002E0F2F" w:rsidRPr="00850718" w:rsidRDefault="002E0F2F" w:rsidP="00FD30DE">
      <w:pPr>
        <w:jc w:val="both"/>
        <w:rPr>
          <w:rFonts w:cs="Arial"/>
        </w:rPr>
      </w:pPr>
      <w:r w:rsidRPr="00850718">
        <w:rPr>
          <w:rFonts w:cs="Arial"/>
        </w:rPr>
        <w:t xml:space="preserve">9. Chen EY, Tan CM, Kou Y, Duan Q, Wang Z, Meirelles GV, Clark NR, Ma’ayan A. Enrichr: Interactive and collaborative HTML5 gene list enrichment analysis tool. BMC </w:t>
      </w:r>
      <w:r w:rsidRPr="00850718">
        <w:rPr>
          <w:rFonts w:cs="Arial"/>
          <w:i/>
        </w:rPr>
        <w:t>Bioinformatics</w:t>
      </w:r>
      <w:r w:rsidRPr="00850718">
        <w:rPr>
          <w:rFonts w:cs="Arial"/>
        </w:rPr>
        <w:t>. 2013;14:128.</w:t>
      </w:r>
    </w:p>
    <w:p w14:paraId="0808CEF5" w14:textId="1DA790BF" w:rsidR="002E0F2F" w:rsidRPr="00850718" w:rsidRDefault="002E0F2F" w:rsidP="00FD30DE">
      <w:pPr>
        <w:jc w:val="both"/>
        <w:rPr>
          <w:rFonts w:cs="Arial"/>
        </w:rPr>
      </w:pPr>
      <w:r w:rsidRPr="00850718">
        <w:rPr>
          <w:rFonts w:cs="Arial"/>
        </w:rPr>
        <w:t xml:space="preserve">10. Kanehisa M, Goto S. KEGG: Kyoto encyclopedia of genes and genomes. </w:t>
      </w:r>
      <w:r w:rsidRPr="00850718">
        <w:rPr>
          <w:rFonts w:cs="Arial"/>
          <w:i/>
        </w:rPr>
        <w:t>Nucleic Acids Res</w:t>
      </w:r>
      <w:r w:rsidRPr="00850718">
        <w:rPr>
          <w:rFonts w:cs="Arial"/>
        </w:rPr>
        <w:t>. 2000;28(1):27–30.</w:t>
      </w:r>
    </w:p>
    <w:p w14:paraId="5BCF8E48" w14:textId="100EA11B" w:rsidR="002E0F2F" w:rsidRPr="00850718" w:rsidRDefault="002E0F2F" w:rsidP="00FD30DE">
      <w:pPr>
        <w:jc w:val="both"/>
        <w:rPr>
          <w:rFonts w:cs="Arial"/>
        </w:rPr>
      </w:pPr>
      <w:r w:rsidRPr="00850718">
        <w:rPr>
          <w:rFonts w:cs="Times New Roman"/>
          <w:noProof/>
          <w:szCs w:val="24"/>
        </w:rPr>
        <w:t xml:space="preserve">11. </w:t>
      </w:r>
      <w:r w:rsidRPr="00850718">
        <w:rPr>
          <w:rFonts w:cs="Arial"/>
        </w:rPr>
        <w:t xml:space="preserve">Subramanian A, Tamayo P, Mootha VK, Mukherjee S, Ebert BL, Gillette MA, Paulovich A, Pomeroy SL, Golub TR, Lander ES, Mesirov JP. Gene set enrichment analysis: A knowledge-based approach for interpreting genome-wide expression profiles. </w:t>
      </w:r>
      <w:r w:rsidRPr="00850718">
        <w:rPr>
          <w:rFonts w:cs="Arial"/>
          <w:i/>
        </w:rPr>
        <w:t>Proc Natl Acad Sci U S A</w:t>
      </w:r>
      <w:r w:rsidRPr="00850718">
        <w:rPr>
          <w:rFonts w:cs="Arial"/>
        </w:rPr>
        <w:t>. 2005;102(43):15545–15550.</w:t>
      </w:r>
    </w:p>
    <w:p w14:paraId="11DD18AC" w14:textId="193C1D92" w:rsidR="002E0F2F" w:rsidRPr="00850718" w:rsidRDefault="002E0F2F" w:rsidP="00FD30DE">
      <w:pPr>
        <w:jc w:val="both"/>
        <w:rPr>
          <w:rFonts w:cs="Arial"/>
        </w:rPr>
      </w:pPr>
      <w:r w:rsidRPr="00850718">
        <w:rPr>
          <w:rFonts w:cs="Arial"/>
        </w:rPr>
        <w:lastRenderedPageBreak/>
        <w:t>12. Shannon P, Markiel A, Ozier O, Baliga NS, Wang JT, Ramage D, Amin N, Schwikowski B, Ideker T. Cytoscape: A software environment for integrated models of biomolecular interaction networks. Genome Res. 2003;13:2498-2504.</w:t>
      </w:r>
    </w:p>
    <w:p w14:paraId="5F88275F" w14:textId="6AFBB5EC" w:rsidR="002E0F2F" w:rsidRPr="00850718" w:rsidRDefault="002E0F2F" w:rsidP="00FD30DE">
      <w:pPr>
        <w:jc w:val="both"/>
        <w:rPr>
          <w:rFonts w:cs="Arial"/>
        </w:rPr>
      </w:pPr>
      <w:r w:rsidRPr="00850718">
        <w:rPr>
          <w:rFonts w:cs="Arial"/>
        </w:rPr>
        <w:t xml:space="preserve">13. Szklarczyk D, Morris JH, Cook H, Kuhn M, Wyder S, Simonovic M, Santos A, Doncheva NT, Roth A, Bork P, Jensen LJ, Von Mering C. The STRING database in 2017: Quality-controlled protein-protein association networks, made broadly accessible. </w:t>
      </w:r>
      <w:r w:rsidRPr="00850718">
        <w:rPr>
          <w:rFonts w:cs="Arial"/>
          <w:i/>
        </w:rPr>
        <w:t>Nucleic Acids Res</w:t>
      </w:r>
      <w:r w:rsidRPr="00850718">
        <w:rPr>
          <w:rFonts w:cs="Arial"/>
        </w:rPr>
        <w:t>. 2017;45(D1):D362–D368.</w:t>
      </w:r>
    </w:p>
    <w:p w14:paraId="116A6420" w14:textId="45F74A87" w:rsidR="002E0F2F" w:rsidRPr="00850718" w:rsidRDefault="002E0F2F" w:rsidP="00FD30DE">
      <w:pPr>
        <w:jc w:val="both"/>
        <w:rPr>
          <w:rFonts w:cs="Arial"/>
        </w:rPr>
      </w:pPr>
      <w:r w:rsidRPr="00850718">
        <w:rPr>
          <w:rFonts w:cs="Arial"/>
        </w:rPr>
        <w:t xml:space="preserve">14. Morris JH, Apeltsin L, Newman AM, Baumbach J, Wittkop T, Su G, Bader GD, Ferrin TE. ClusterMaker: A multi-algorithm clustering plugin for Cytoscape. </w:t>
      </w:r>
      <w:r w:rsidRPr="00850718">
        <w:rPr>
          <w:rFonts w:cs="Arial"/>
          <w:i/>
        </w:rPr>
        <w:t>BMC Bioinformatics</w:t>
      </w:r>
      <w:r w:rsidRPr="00850718">
        <w:rPr>
          <w:rFonts w:cs="Arial"/>
        </w:rPr>
        <w:t>. 2011;12:1–14.</w:t>
      </w:r>
    </w:p>
    <w:p w14:paraId="4E7366E5" w14:textId="06043BEA" w:rsidR="002E0F2F" w:rsidRPr="00850718" w:rsidRDefault="002E0F2F" w:rsidP="00FD30DE">
      <w:pPr>
        <w:jc w:val="both"/>
        <w:rPr>
          <w:rFonts w:cs="Arial"/>
        </w:rPr>
      </w:pPr>
      <w:r w:rsidRPr="00850718">
        <w:rPr>
          <w:rFonts w:cs="Arial"/>
        </w:rPr>
        <w:t xml:space="preserve">15. Li M, Parker BL, Pearson E, Hunter B, Cao J, Koay YC, Guneratne O, James DE, Yang J, Lal S, O’Sullivan JF. Core functional nodes and sex-specific pathways in human ischaemic and dilated cardiomyopathy. </w:t>
      </w:r>
      <w:r w:rsidRPr="00850718">
        <w:rPr>
          <w:rFonts w:cs="Arial"/>
          <w:i/>
        </w:rPr>
        <w:t>Nat Commun</w:t>
      </w:r>
      <w:r w:rsidRPr="00850718">
        <w:rPr>
          <w:rFonts w:cs="Arial"/>
        </w:rPr>
        <w:t>. 2020;11(1):2843.</w:t>
      </w:r>
    </w:p>
    <w:p w14:paraId="6D171F6A" w14:textId="09A62206" w:rsidR="002E0F2F" w:rsidRPr="00850718" w:rsidRDefault="002E0F2F" w:rsidP="00FD30DE">
      <w:pPr>
        <w:widowControl w:val="0"/>
        <w:autoSpaceDE w:val="0"/>
        <w:autoSpaceDN w:val="0"/>
        <w:adjustRightInd w:val="0"/>
        <w:jc w:val="both"/>
        <w:rPr>
          <w:rFonts w:cs="Times New Roman"/>
          <w:noProof/>
          <w:szCs w:val="24"/>
        </w:rPr>
      </w:pPr>
      <w:r w:rsidRPr="00850718">
        <w:rPr>
          <w:rFonts w:cs="Arial"/>
          <w:color w:val="000000" w:themeColor="text1"/>
          <w:lang w:eastAsia="de-DE"/>
        </w:rPr>
        <w:t>16. Voigt N, Li N, Wang Q, Wang W, Trafford AW, Abu-Taha I, Sun Q, Wieland T, Ravens U, Nattel S, Wehrens XHT, Dobrev D. Enhanced sarcoplasmic reticulum Ca</w:t>
      </w:r>
      <w:r w:rsidRPr="00850718">
        <w:rPr>
          <w:rFonts w:cs="Arial"/>
          <w:color w:val="000000" w:themeColor="text1"/>
          <w:vertAlign w:val="superscript"/>
          <w:lang w:eastAsia="de-DE"/>
        </w:rPr>
        <w:t>2+</w:t>
      </w:r>
      <w:r w:rsidRPr="00850718">
        <w:rPr>
          <w:rFonts w:cs="Arial"/>
          <w:color w:val="000000" w:themeColor="text1"/>
          <w:lang w:eastAsia="de-DE"/>
        </w:rPr>
        <w:t xml:space="preserve"> leak and increased Na</w:t>
      </w:r>
      <w:r w:rsidRPr="00850718">
        <w:rPr>
          <w:rFonts w:cs="Arial"/>
          <w:color w:val="000000" w:themeColor="text1"/>
          <w:vertAlign w:val="superscript"/>
          <w:lang w:eastAsia="de-DE"/>
        </w:rPr>
        <w:t>+</w:t>
      </w:r>
      <w:r w:rsidRPr="00850718">
        <w:rPr>
          <w:rFonts w:cs="Arial"/>
          <w:color w:val="000000" w:themeColor="text1"/>
          <w:lang w:eastAsia="de-DE"/>
        </w:rPr>
        <w:t>-Ca</w:t>
      </w:r>
      <w:r w:rsidRPr="00850718">
        <w:rPr>
          <w:rFonts w:cs="Arial"/>
          <w:color w:val="000000" w:themeColor="text1"/>
          <w:vertAlign w:val="superscript"/>
          <w:lang w:eastAsia="de-DE"/>
        </w:rPr>
        <w:t>2+</w:t>
      </w:r>
      <w:r w:rsidRPr="00850718">
        <w:rPr>
          <w:rFonts w:cs="Arial"/>
          <w:color w:val="000000" w:themeColor="text1"/>
          <w:lang w:eastAsia="de-DE"/>
        </w:rPr>
        <w:t xml:space="preserve"> exchanger function underlie delayed afterdepolarizations in patients with chronic atrial fibrillation. </w:t>
      </w:r>
      <w:r w:rsidRPr="00850718">
        <w:rPr>
          <w:rFonts w:cs="Arial"/>
          <w:i/>
          <w:color w:val="000000" w:themeColor="text1"/>
          <w:lang w:eastAsia="de-DE"/>
        </w:rPr>
        <w:t>Circulation</w:t>
      </w:r>
      <w:r w:rsidRPr="00850718">
        <w:rPr>
          <w:rFonts w:cs="Arial"/>
          <w:color w:val="000000" w:themeColor="text1"/>
          <w:lang w:eastAsia="de-DE"/>
        </w:rPr>
        <w:t>. 2012;125(17):2059–2070</w:t>
      </w:r>
      <w:r w:rsidRPr="00850718">
        <w:rPr>
          <w:rFonts w:cs="Times New Roman"/>
          <w:noProof/>
          <w:szCs w:val="24"/>
        </w:rPr>
        <w:t>.</w:t>
      </w:r>
    </w:p>
    <w:p w14:paraId="2B7047B5" w14:textId="30714ABB" w:rsidR="002E0F2F" w:rsidRPr="00850718" w:rsidRDefault="002E0F2F" w:rsidP="00FD30DE">
      <w:pPr>
        <w:widowControl w:val="0"/>
        <w:autoSpaceDE w:val="0"/>
        <w:autoSpaceDN w:val="0"/>
        <w:adjustRightInd w:val="0"/>
        <w:spacing w:before="100" w:beforeAutospacing="1" w:after="100" w:afterAutospacing="1"/>
        <w:jc w:val="both"/>
        <w:rPr>
          <w:rFonts w:cs="Arial"/>
          <w:color w:val="000000" w:themeColor="text1"/>
          <w:lang w:eastAsia="de-DE"/>
        </w:rPr>
      </w:pPr>
      <w:r w:rsidRPr="00850718">
        <w:rPr>
          <w:rFonts w:cs="Arial"/>
          <w:color w:val="000000" w:themeColor="text1"/>
          <w:lang w:eastAsia="de-DE"/>
        </w:rPr>
        <w:t xml:space="preserve">17. Fakuade FE, Hubricht D, Möller V, Sobitov I, Liutkute A, Döring Y, Seibertz F, Gerloff M, Pronto JRD, Haghighi F, Brandenburg S, Alhussini K, Ignatyeva N, Bonhoff Y, Kestel S, El-Essawi A, Jebran AF, Großmann M, Danner BC, Baraki H, Schmidt C, Sossalla S, Kutschka I, Bening C, Maack C, Linke WA, Heijman J, Lehnart SE, Kensah G, Ebert A, Mason FE, Voigt N. Impaired intracellular calcium buffering contributes to the arrhythmogenic substrate in atrial myocytes from patients with atrial fibrillation. </w:t>
      </w:r>
      <w:r w:rsidRPr="00850718">
        <w:rPr>
          <w:rFonts w:cs="Arial"/>
          <w:i/>
          <w:color w:val="000000" w:themeColor="text1"/>
          <w:lang w:eastAsia="de-DE"/>
        </w:rPr>
        <w:t>Circulation</w:t>
      </w:r>
      <w:r w:rsidRPr="00850718">
        <w:rPr>
          <w:rFonts w:cs="Arial"/>
          <w:color w:val="000000" w:themeColor="text1"/>
          <w:lang w:eastAsia="de-DE"/>
        </w:rPr>
        <w:t>. 2024;150(7):544-559.</w:t>
      </w:r>
    </w:p>
    <w:p w14:paraId="46A4D360" w14:textId="58B51DAA" w:rsidR="002E0F2F" w:rsidRPr="00850718" w:rsidRDefault="002E0F2F" w:rsidP="00FD30DE">
      <w:pPr>
        <w:jc w:val="both"/>
        <w:rPr>
          <w:rFonts w:cs="Arial"/>
        </w:rPr>
      </w:pPr>
      <w:r w:rsidRPr="00850718">
        <w:rPr>
          <w:rFonts w:cs="Arial"/>
        </w:rPr>
        <w:t xml:space="preserve">18. Mallick P, Schirle M, Chen SS, Flory MR, Lee H, Martin D, Ranish J, Raught B, Schmitt R, Werner T, Kuster B, Aebersold R. Computational prediction of proteotypic peptides for quantitative proteomics. </w:t>
      </w:r>
      <w:r w:rsidRPr="00850718">
        <w:rPr>
          <w:rFonts w:cs="Arial"/>
          <w:i/>
        </w:rPr>
        <w:t>Nat Biotechnol</w:t>
      </w:r>
      <w:r w:rsidRPr="00850718">
        <w:rPr>
          <w:rFonts w:cs="Arial"/>
        </w:rPr>
        <w:t>. 2007;25(1):125-131.</w:t>
      </w:r>
    </w:p>
    <w:p w14:paraId="27D93B83" w14:textId="5167D147" w:rsidR="002E0F2F" w:rsidRPr="00850718" w:rsidRDefault="002E0F2F" w:rsidP="00FD30DE">
      <w:pPr>
        <w:jc w:val="both"/>
        <w:rPr>
          <w:rFonts w:cs="Arial"/>
        </w:rPr>
      </w:pPr>
      <w:r w:rsidRPr="00850718">
        <w:rPr>
          <w:rFonts w:cs="Arial"/>
        </w:rPr>
        <w:t xml:space="preserve">19. Bruderer R, Bernhardt OM, Gandhi T, Reiter L. High-precision iRT prediction in the targeted analysis of data-independent acquisition and its impact on identification and quantitation. </w:t>
      </w:r>
      <w:r w:rsidRPr="00850718">
        <w:rPr>
          <w:rFonts w:cs="Arial"/>
          <w:i/>
        </w:rPr>
        <w:t>Proteomics</w:t>
      </w:r>
      <w:r w:rsidRPr="00850718">
        <w:rPr>
          <w:rFonts w:cs="Arial"/>
        </w:rPr>
        <w:t>. 2016;16(15-16):2246-2256.</w:t>
      </w:r>
    </w:p>
    <w:p w14:paraId="5D2FD5B0" w14:textId="373D0BED" w:rsidR="002E0F2F" w:rsidRPr="00850718" w:rsidRDefault="002E0F2F" w:rsidP="00FD30DE">
      <w:pPr>
        <w:widowControl w:val="0"/>
        <w:autoSpaceDE w:val="0"/>
        <w:autoSpaceDN w:val="0"/>
        <w:adjustRightInd w:val="0"/>
        <w:spacing w:before="100" w:beforeAutospacing="1" w:after="100" w:afterAutospacing="1"/>
        <w:jc w:val="both"/>
        <w:rPr>
          <w:rFonts w:cs="Arial"/>
          <w:color w:val="000000" w:themeColor="text1"/>
          <w:lang w:eastAsia="de-DE"/>
        </w:rPr>
      </w:pPr>
      <w:r w:rsidRPr="00850718">
        <w:rPr>
          <w:rFonts w:cs="Times New Roman"/>
          <w:noProof/>
          <w:szCs w:val="24"/>
        </w:rPr>
        <w:t xml:space="preserve">20. </w:t>
      </w:r>
      <w:r w:rsidRPr="00850718">
        <w:rPr>
          <w:rFonts w:cs="Arial"/>
          <w:color w:val="000000" w:themeColor="text1"/>
          <w:lang w:eastAsia="de-DE"/>
        </w:rPr>
        <w:t xml:space="preserve">Rennison JH, Li L, Lin CR, Lovano BS, Castel L, Wass SY, Cantlay CC, McHale M, Gillinov AM, Mehra R, Willard BB, Smith JD, Chung MK, Barnard J, Van Wagoner DR. Atrial fibrillation rhythm is associated with marked changes in metabolic and myofibrillar protein expression in left atrial appendage. </w:t>
      </w:r>
      <w:r w:rsidRPr="00850718">
        <w:rPr>
          <w:rFonts w:cs="Arial"/>
          <w:i/>
          <w:color w:val="000000" w:themeColor="text1"/>
          <w:lang w:eastAsia="de-DE"/>
        </w:rPr>
        <w:lastRenderedPageBreak/>
        <w:t>Pflugers Arch Eur J Physiol</w:t>
      </w:r>
      <w:r w:rsidRPr="00850718">
        <w:rPr>
          <w:rFonts w:cs="Arial"/>
          <w:color w:val="000000" w:themeColor="text1"/>
          <w:lang w:eastAsia="de-DE"/>
        </w:rPr>
        <w:t>. 2021;473(3)</w:t>
      </w:r>
      <w:r w:rsidRPr="00850718">
        <w:rPr>
          <w:rFonts w:cs="Arial"/>
        </w:rPr>
        <w:t>:</w:t>
      </w:r>
      <w:r w:rsidRPr="00850718">
        <w:rPr>
          <w:rFonts w:cs="Arial"/>
          <w:color w:val="000000" w:themeColor="text1"/>
          <w:lang w:eastAsia="de-DE"/>
        </w:rPr>
        <w:t>461-475.</w:t>
      </w:r>
    </w:p>
    <w:p w14:paraId="05E4C981" w14:textId="79034795" w:rsidR="00FD30DE" w:rsidRPr="00850718" w:rsidRDefault="00FD30DE" w:rsidP="00FD30DE">
      <w:pPr>
        <w:widowControl w:val="0"/>
        <w:autoSpaceDE w:val="0"/>
        <w:autoSpaceDN w:val="0"/>
        <w:adjustRightInd w:val="0"/>
        <w:jc w:val="both"/>
        <w:rPr>
          <w:noProof/>
        </w:rPr>
      </w:pPr>
      <w:r w:rsidRPr="00850718">
        <w:rPr>
          <w:noProof/>
        </w:rPr>
        <w:t xml:space="preserve">21. Naba A, Clauser KR, Hoersch S, Liu H, Carr SA, Hynes RO. The matrisome: in silico definition and in vivo characterization by proteomics of normal and tumor extracellular matrices. </w:t>
      </w:r>
      <w:r w:rsidRPr="00850718">
        <w:rPr>
          <w:i/>
          <w:noProof/>
        </w:rPr>
        <w:t>Mol Cell Proteomics</w:t>
      </w:r>
      <w:r w:rsidRPr="00850718">
        <w:rPr>
          <w:noProof/>
        </w:rPr>
        <w:t xml:space="preserve">. 2012;11(4):M111.01464717. </w:t>
      </w:r>
    </w:p>
    <w:p w14:paraId="38690F57" w14:textId="1145F963" w:rsidR="00FD30DE" w:rsidRPr="00850718" w:rsidRDefault="00FD30DE" w:rsidP="00FD30DE">
      <w:pPr>
        <w:widowControl w:val="0"/>
        <w:autoSpaceDE w:val="0"/>
        <w:autoSpaceDN w:val="0"/>
        <w:adjustRightInd w:val="0"/>
        <w:jc w:val="both"/>
        <w:rPr>
          <w:noProof/>
        </w:rPr>
      </w:pPr>
      <w:r w:rsidRPr="00850718">
        <w:rPr>
          <w:noProof/>
        </w:rPr>
        <w:t>22. Buck KM, Rogers HT, Gregorich ZR, Mann MW, Aballo TJ, Gao Z, Chapman EA, Perciaccante AJ, Price SJ, Lei I, Tang PC GY. Extracellular Matrix Alterations in Chronic Ischemic Cardiomyopathy Revealed by Quantitative Proteomics. 2025;</w:t>
      </w:r>
      <w:r w:rsidRPr="00850718">
        <w:rPr>
          <w:i/>
          <w:iCs/>
          <w:noProof/>
        </w:rPr>
        <w:t>bioRxiv [Preprint]</w:t>
      </w:r>
      <w:r w:rsidRPr="00850718">
        <w:rPr>
          <w:noProof/>
        </w:rPr>
        <w:t xml:space="preserve">. </w:t>
      </w:r>
    </w:p>
    <w:p w14:paraId="0F62E80C" w14:textId="4B98C0D3" w:rsidR="002E0F2F" w:rsidRPr="002E0F2F" w:rsidRDefault="00FD30DE" w:rsidP="00FD30DE">
      <w:pPr>
        <w:jc w:val="both"/>
        <w:rPr>
          <w:lang w:val="en-US"/>
        </w:rPr>
      </w:pPr>
      <w:r w:rsidRPr="00850718">
        <w:rPr>
          <w:rFonts w:cs="Arial"/>
        </w:rPr>
        <w:t xml:space="preserve">23. Linscheid N, Santos A, Poulsen PC, Mills RW, Calloe K, Leurs U, Ye JZ, Stolte C, Thomsen MB, Bentzen BH, Lundegaard PR, Olesen MS, Jensen LJ, Olsen J V., Lundby A. Quantitative proteome comparison of human hearts with those of model organisms. </w:t>
      </w:r>
      <w:r w:rsidRPr="00850718">
        <w:rPr>
          <w:rFonts w:cs="Arial"/>
          <w:i/>
        </w:rPr>
        <w:t>PLoS Biol</w:t>
      </w:r>
      <w:r w:rsidRPr="00850718">
        <w:rPr>
          <w:rFonts w:cs="Arial"/>
        </w:rPr>
        <w:t>. 2021;19(4)</w:t>
      </w:r>
      <w:r w:rsidR="002E0F2F" w:rsidRPr="00850718">
        <w:rPr>
          <w:lang w:val="en-US"/>
        </w:rPr>
        <w:fldChar w:fldCharType="end"/>
      </w:r>
      <w:r w:rsidRPr="00850718">
        <w:rPr>
          <w:lang w:val="en-US"/>
        </w:rPr>
        <w:t>.</w:t>
      </w:r>
    </w:p>
    <w:sectPr w:rsidR="002E0F2F" w:rsidRPr="002E0F2F" w:rsidSect="007A3AF3">
      <w:headerReference w:type="first" r:id="rId18"/>
      <w:type w:val="continuous"/>
      <w:pgSz w:w="11906" w:h="16838" w:code="9"/>
      <w:pgMar w:top="1440" w:right="1440" w:bottom="1440" w:left="1440" w:header="709" w:footer="709" w:gutter="0"/>
      <w:lnNumType w:countBy="1" w:restart="continuou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6DC9BC" w14:textId="77777777" w:rsidR="0016043C" w:rsidRDefault="0016043C" w:rsidP="00207802">
      <w:pPr>
        <w:spacing w:after="0" w:line="240" w:lineRule="auto"/>
      </w:pPr>
      <w:r>
        <w:separator/>
      </w:r>
    </w:p>
  </w:endnote>
  <w:endnote w:type="continuationSeparator" w:id="0">
    <w:p w14:paraId="3BC32E6D" w14:textId="77777777" w:rsidR="0016043C" w:rsidRDefault="0016043C" w:rsidP="002078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F7820" w14:textId="40076E82" w:rsidR="00753631" w:rsidRDefault="00753631" w:rsidP="007D5EEA">
    <w:pPr>
      <w:pStyle w:val="Footer"/>
      <w:jc w:val="center"/>
    </w:pPr>
    <w:r>
      <w:rPr>
        <w:lang w:val="de-DE"/>
      </w:rPr>
      <w:t xml:space="preserve">Page </w:t>
    </w:r>
    <w:r>
      <w:rPr>
        <w:b/>
        <w:bCs/>
      </w:rPr>
      <w:fldChar w:fldCharType="begin"/>
    </w:r>
    <w:r>
      <w:rPr>
        <w:b/>
        <w:bCs/>
      </w:rPr>
      <w:instrText>PAGE  \* Arabic  \* MERGEFORMAT</w:instrText>
    </w:r>
    <w:r>
      <w:rPr>
        <w:b/>
        <w:bCs/>
      </w:rPr>
      <w:fldChar w:fldCharType="separate"/>
    </w:r>
    <w:r w:rsidR="00057838" w:rsidRPr="00057838">
      <w:rPr>
        <w:b/>
        <w:bCs/>
        <w:noProof/>
        <w:lang w:val="de-DE"/>
      </w:rPr>
      <w:t>2</w:t>
    </w:r>
    <w:r>
      <w:rPr>
        <w:b/>
        <w:bCs/>
      </w:rPr>
      <w:fldChar w:fldCharType="end"/>
    </w:r>
    <w:r>
      <w:rPr>
        <w:lang w:val="de-DE"/>
      </w:rPr>
      <w:t xml:space="preserve"> </w:t>
    </w:r>
    <w:proofErr w:type="spellStart"/>
    <w:r>
      <w:rPr>
        <w:lang w:val="de-DE"/>
      </w:rPr>
      <w:t>of</w:t>
    </w:r>
    <w:proofErr w:type="spellEnd"/>
    <w:r>
      <w:rPr>
        <w:lang w:val="de-DE"/>
      </w:rPr>
      <w:t xml:space="preserve"> </w:t>
    </w:r>
    <w:r>
      <w:rPr>
        <w:b/>
        <w:bCs/>
      </w:rPr>
      <w:fldChar w:fldCharType="begin"/>
    </w:r>
    <w:r>
      <w:rPr>
        <w:b/>
        <w:bCs/>
      </w:rPr>
      <w:instrText>NUMPAGES  \* Arabic  \* MERGEFORMAT</w:instrText>
    </w:r>
    <w:r>
      <w:rPr>
        <w:b/>
        <w:bCs/>
      </w:rPr>
      <w:fldChar w:fldCharType="separate"/>
    </w:r>
    <w:r w:rsidR="00057838" w:rsidRPr="00057838">
      <w:rPr>
        <w:b/>
        <w:bCs/>
        <w:noProof/>
        <w:lang w:val="de-DE"/>
      </w:rPr>
      <w:t>26</w: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ED650" w14:textId="07692F68" w:rsidR="00753631" w:rsidRDefault="00753631" w:rsidP="007D5EEA">
    <w:pPr>
      <w:pStyle w:val="Footer"/>
      <w:jc w:val="center"/>
    </w:pPr>
    <w:r>
      <w:rPr>
        <w:lang w:val="de-DE"/>
      </w:rPr>
      <w:t xml:space="preserve">Page </w:t>
    </w:r>
    <w:r>
      <w:rPr>
        <w:b/>
        <w:bCs/>
      </w:rPr>
      <w:fldChar w:fldCharType="begin"/>
    </w:r>
    <w:r>
      <w:rPr>
        <w:b/>
        <w:bCs/>
      </w:rPr>
      <w:instrText>PAGE  \* Arabic  \* MERGEFORMAT</w:instrText>
    </w:r>
    <w:r>
      <w:rPr>
        <w:b/>
        <w:bCs/>
      </w:rPr>
      <w:fldChar w:fldCharType="separate"/>
    </w:r>
    <w:r w:rsidR="00057838" w:rsidRPr="00057838">
      <w:rPr>
        <w:b/>
        <w:bCs/>
        <w:noProof/>
        <w:lang w:val="de-DE"/>
      </w:rPr>
      <w:t>1</w:t>
    </w:r>
    <w:r>
      <w:rPr>
        <w:b/>
        <w:bCs/>
      </w:rPr>
      <w:fldChar w:fldCharType="end"/>
    </w:r>
    <w:r>
      <w:rPr>
        <w:lang w:val="de-DE"/>
      </w:rPr>
      <w:t xml:space="preserve"> </w:t>
    </w:r>
    <w:proofErr w:type="spellStart"/>
    <w:r>
      <w:rPr>
        <w:lang w:val="de-DE"/>
      </w:rPr>
      <w:t>of</w:t>
    </w:r>
    <w:proofErr w:type="spellEnd"/>
    <w:r>
      <w:rPr>
        <w:lang w:val="de-DE"/>
      </w:rPr>
      <w:t xml:space="preserve"> </w:t>
    </w:r>
    <w:r>
      <w:rPr>
        <w:b/>
        <w:bCs/>
      </w:rPr>
      <w:fldChar w:fldCharType="begin"/>
    </w:r>
    <w:r>
      <w:rPr>
        <w:b/>
        <w:bCs/>
      </w:rPr>
      <w:instrText>NUMPAGES  \* Arabic  \* MERGEFORMAT</w:instrText>
    </w:r>
    <w:r>
      <w:rPr>
        <w:b/>
        <w:bCs/>
      </w:rPr>
      <w:fldChar w:fldCharType="separate"/>
    </w:r>
    <w:r w:rsidR="00057838" w:rsidRPr="00057838">
      <w:rPr>
        <w:b/>
        <w:bCs/>
        <w:noProof/>
        <w:lang w:val="de-DE"/>
      </w:rPr>
      <w:t>26</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D08D8" w14:textId="77777777" w:rsidR="0016043C" w:rsidRDefault="0016043C" w:rsidP="00207802">
      <w:pPr>
        <w:spacing w:after="0" w:line="240" w:lineRule="auto"/>
      </w:pPr>
      <w:r>
        <w:separator/>
      </w:r>
    </w:p>
  </w:footnote>
  <w:footnote w:type="continuationSeparator" w:id="0">
    <w:p w14:paraId="7B6F0E43" w14:textId="77777777" w:rsidR="0016043C" w:rsidRDefault="0016043C" w:rsidP="002078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CE81A" w14:textId="77777777" w:rsidR="00753631" w:rsidRDefault="00753631" w:rsidP="004253F9">
    <w:pPr>
      <w:pStyle w:val="Header"/>
      <w:jc w:val="center"/>
      <w:rPr>
        <w:sz w:val="36"/>
      </w:rPr>
    </w:pPr>
    <w:r>
      <w:rPr>
        <w:rFonts w:cs="Calibri"/>
        <w:sz w:val="24"/>
        <w:szCs w:val="20"/>
      </w:rPr>
      <w:t>CVR-0043</w:t>
    </w:r>
  </w:p>
  <w:p w14:paraId="2061CEC0" w14:textId="77777777" w:rsidR="00753631" w:rsidRPr="00FB19E3" w:rsidRDefault="00753631" w:rsidP="00FB19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1F4B6" w14:textId="5653C54D" w:rsidR="00753631" w:rsidRPr="00713B26" w:rsidRDefault="00753631" w:rsidP="00713B26">
    <w:pPr>
      <w:pStyle w:val="Header"/>
      <w:jc w:val="center"/>
    </w:pPr>
    <w:r w:rsidRPr="00713B26">
      <w:rPr>
        <w:rFonts w:cs="Calibri"/>
        <w:sz w:val="20"/>
        <w:szCs w:val="20"/>
      </w:rPr>
      <w:t>Human heart mass spectral library approach highlights the critical role of the right atrium in persistent atrial fibrillation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4B0B7C"/>
    <w:multiLevelType w:val="hybridMultilevel"/>
    <w:tmpl w:val="B546F76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AE40DA2"/>
    <w:multiLevelType w:val="hybridMultilevel"/>
    <w:tmpl w:val="D9C02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C231929"/>
    <w:multiLevelType w:val="hybridMultilevel"/>
    <w:tmpl w:val="DBAAB5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EE23EB"/>
    <w:multiLevelType w:val="hybridMultilevel"/>
    <w:tmpl w:val="52109D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725C63"/>
    <w:multiLevelType w:val="hybridMultilevel"/>
    <w:tmpl w:val="ADB0EE6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ECD3144"/>
    <w:multiLevelType w:val="hybridMultilevel"/>
    <w:tmpl w:val="901C0B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96A5981"/>
    <w:multiLevelType w:val="hybridMultilevel"/>
    <w:tmpl w:val="46742672"/>
    <w:lvl w:ilvl="0" w:tplc="654EBC46">
      <w:start w:val="1"/>
      <w:numFmt w:val="decimal"/>
      <w:lvlText w:val="%1."/>
      <w:lvlJc w:val="left"/>
      <w:pPr>
        <w:ind w:left="720" w:hanging="360"/>
      </w:pPr>
      <w:rPr>
        <w:rFonts w:hint="default"/>
        <w:b w:val="0"/>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CC92943"/>
    <w:multiLevelType w:val="hybridMultilevel"/>
    <w:tmpl w:val="0B9E0E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53FE6E12"/>
    <w:multiLevelType w:val="hybridMultilevel"/>
    <w:tmpl w:val="77A0DA1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7D73A26"/>
    <w:multiLevelType w:val="hybridMultilevel"/>
    <w:tmpl w:val="2B54B7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AB134A0"/>
    <w:multiLevelType w:val="hybridMultilevel"/>
    <w:tmpl w:val="0B9E0E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D7F3F27"/>
    <w:multiLevelType w:val="hybridMultilevel"/>
    <w:tmpl w:val="0270E23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7F355D97"/>
    <w:multiLevelType w:val="hybridMultilevel"/>
    <w:tmpl w:val="652A74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0834237">
    <w:abstractNumId w:val="11"/>
  </w:num>
  <w:num w:numId="2" w16cid:durableId="876897371">
    <w:abstractNumId w:val="3"/>
  </w:num>
  <w:num w:numId="3" w16cid:durableId="715737199">
    <w:abstractNumId w:val="12"/>
  </w:num>
  <w:num w:numId="4" w16cid:durableId="387263555">
    <w:abstractNumId w:val="2"/>
  </w:num>
  <w:num w:numId="5" w16cid:durableId="1136412398">
    <w:abstractNumId w:val="9"/>
  </w:num>
  <w:num w:numId="6" w16cid:durableId="8794344">
    <w:abstractNumId w:val="4"/>
  </w:num>
  <w:num w:numId="7" w16cid:durableId="1327903790">
    <w:abstractNumId w:val="5"/>
  </w:num>
  <w:num w:numId="8" w16cid:durableId="1773236571">
    <w:abstractNumId w:val="8"/>
  </w:num>
  <w:num w:numId="9" w16cid:durableId="1049765497">
    <w:abstractNumId w:val="10"/>
  </w:num>
  <w:num w:numId="10" w16cid:durableId="2142454177">
    <w:abstractNumId w:val="6"/>
  </w:num>
  <w:num w:numId="11" w16cid:durableId="1494562554">
    <w:abstractNumId w:val="7"/>
  </w:num>
  <w:num w:numId="12" w16cid:durableId="1835338676">
    <w:abstractNumId w:val="1"/>
  </w:num>
  <w:num w:numId="13" w16cid:durableId="6281292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de-DE" w:vendorID="64" w:dllVersion="6" w:nlCheck="1" w:checkStyle="0"/>
  <w:activeWritingStyle w:appName="MSWord" w:lang="en-GB" w:vendorID="64" w:dllVersion="6" w:nlCheck="1" w:checkStyle="0"/>
  <w:activeWritingStyle w:appName="MSWord" w:lang="en-US" w:vendorID="64" w:dllVersion="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c3NzI2MDeyNLEwMTRS0lEKTi0uzszPAykwsqgFAEIesrstAAAA"/>
  </w:docVars>
  <w:rsids>
    <w:rsidRoot w:val="00FA53E8"/>
    <w:rsid w:val="0000206D"/>
    <w:rsid w:val="000036BC"/>
    <w:rsid w:val="0000657E"/>
    <w:rsid w:val="00007151"/>
    <w:rsid w:val="00010884"/>
    <w:rsid w:val="00010A26"/>
    <w:rsid w:val="00011248"/>
    <w:rsid w:val="00011F71"/>
    <w:rsid w:val="000125B0"/>
    <w:rsid w:val="00014714"/>
    <w:rsid w:val="00015181"/>
    <w:rsid w:val="000217F1"/>
    <w:rsid w:val="00022477"/>
    <w:rsid w:val="0002307B"/>
    <w:rsid w:val="00023A3D"/>
    <w:rsid w:val="0002642A"/>
    <w:rsid w:val="000276CF"/>
    <w:rsid w:val="00027929"/>
    <w:rsid w:val="00027D68"/>
    <w:rsid w:val="00027E2B"/>
    <w:rsid w:val="0003081F"/>
    <w:rsid w:val="00030D98"/>
    <w:rsid w:val="00031DBA"/>
    <w:rsid w:val="000320B3"/>
    <w:rsid w:val="000320CD"/>
    <w:rsid w:val="00032BF5"/>
    <w:rsid w:val="00033EB0"/>
    <w:rsid w:val="00034BC7"/>
    <w:rsid w:val="00035C12"/>
    <w:rsid w:val="00036D21"/>
    <w:rsid w:val="00036E27"/>
    <w:rsid w:val="00037406"/>
    <w:rsid w:val="000411BD"/>
    <w:rsid w:val="0004153E"/>
    <w:rsid w:val="0004245A"/>
    <w:rsid w:val="00042AB5"/>
    <w:rsid w:val="00043092"/>
    <w:rsid w:val="00043315"/>
    <w:rsid w:val="0004360F"/>
    <w:rsid w:val="00045509"/>
    <w:rsid w:val="000456FC"/>
    <w:rsid w:val="00045774"/>
    <w:rsid w:val="000466CA"/>
    <w:rsid w:val="000476DE"/>
    <w:rsid w:val="00050181"/>
    <w:rsid w:val="00052E56"/>
    <w:rsid w:val="000533D3"/>
    <w:rsid w:val="00053663"/>
    <w:rsid w:val="00053BDE"/>
    <w:rsid w:val="0005433A"/>
    <w:rsid w:val="00054874"/>
    <w:rsid w:val="00054974"/>
    <w:rsid w:val="00054EA7"/>
    <w:rsid w:val="00055186"/>
    <w:rsid w:val="000563F1"/>
    <w:rsid w:val="00057838"/>
    <w:rsid w:val="00060D1F"/>
    <w:rsid w:val="00060F87"/>
    <w:rsid w:val="0006148D"/>
    <w:rsid w:val="00062227"/>
    <w:rsid w:val="000642A1"/>
    <w:rsid w:val="000643CC"/>
    <w:rsid w:val="0006518A"/>
    <w:rsid w:val="00065723"/>
    <w:rsid w:val="0007130C"/>
    <w:rsid w:val="000713B8"/>
    <w:rsid w:val="00071814"/>
    <w:rsid w:val="00072E31"/>
    <w:rsid w:val="00072F9D"/>
    <w:rsid w:val="00073DE2"/>
    <w:rsid w:val="000746C3"/>
    <w:rsid w:val="00074717"/>
    <w:rsid w:val="00074BBE"/>
    <w:rsid w:val="00075259"/>
    <w:rsid w:val="00075A1C"/>
    <w:rsid w:val="00076230"/>
    <w:rsid w:val="00080359"/>
    <w:rsid w:val="00080682"/>
    <w:rsid w:val="00081CD0"/>
    <w:rsid w:val="0008205D"/>
    <w:rsid w:val="00083625"/>
    <w:rsid w:val="00087D22"/>
    <w:rsid w:val="000900A0"/>
    <w:rsid w:val="00090353"/>
    <w:rsid w:val="000903BE"/>
    <w:rsid w:val="000913F7"/>
    <w:rsid w:val="000917C9"/>
    <w:rsid w:val="00091C69"/>
    <w:rsid w:val="0009229D"/>
    <w:rsid w:val="00095DC8"/>
    <w:rsid w:val="000A0356"/>
    <w:rsid w:val="000A26C2"/>
    <w:rsid w:val="000A4BAA"/>
    <w:rsid w:val="000A61AE"/>
    <w:rsid w:val="000A6519"/>
    <w:rsid w:val="000A6F4C"/>
    <w:rsid w:val="000A7020"/>
    <w:rsid w:val="000A7BC6"/>
    <w:rsid w:val="000B0C23"/>
    <w:rsid w:val="000B0F81"/>
    <w:rsid w:val="000B258D"/>
    <w:rsid w:val="000B2848"/>
    <w:rsid w:val="000B2C4A"/>
    <w:rsid w:val="000B331D"/>
    <w:rsid w:val="000B3629"/>
    <w:rsid w:val="000B4095"/>
    <w:rsid w:val="000B44B5"/>
    <w:rsid w:val="000B465B"/>
    <w:rsid w:val="000B4F5E"/>
    <w:rsid w:val="000B535C"/>
    <w:rsid w:val="000B660C"/>
    <w:rsid w:val="000C0503"/>
    <w:rsid w:val="000C0719"/>
    <w:rsid w:val="000C1FBB"/>
    <w:rsid w:val="000C33E3"/>
    <w:rsid w:val="000C6076"/>
    <w:rsid w:val="000C7C7D"/>
    <w:rsid w:val="000C7DF0"/>
    <w:rsid w:val="000D0A6D"/>
    <w:rsid w:val="000D0BA2"/>
    <w:rsid w:val="000D16FB"/>
    <w:rsid w:val="000D3039"/>
    <w:rsid w:val="000D3074"/>
    <w:rsid w:val="000D4DC4"/>
    <w:rsid w:val="000D6486"/>
    <w:rsid w:val="000D69DC"/>
    <w:rsid w:val="000D7112"/>
    <w:rsid w:val="000E0011"/>
    <w:rsid w:val="000E018D"/>
    <w:rsid w:val="000E03BE"/>
    <w:rsid w:val="000E2103"/>
    <w:rsid w:val="000E227C"/>
    <w:rsid w:val="000E2CCC"/>
    <w:rsid w:val="000E40A3"/>
    <w:rsid w:val="000E4359"/>
    <w:rsid w:val="000E775F"/>
    <w:rsid w:val="000F02B3"/>
    <w:rsid w:val="000F047E"/>
    <w:rsid w:val="000F12BF"/>
    <w:rsid w:val="000F1536"/>
    <w:rsid w:val="000F3170"/>
    <w:rsid w:val="000F334B"/>
    <w:rsid w:val="000F3BD8"/>
    <w:rsid w:val="000F44B7"/>
    <w:rsid w:val="000F561B"/>
    <w:rsid w:val="000F66BC"/>
    <w:rsid w:val="000F7022"/>
    <w:rsid w:val="000F7DC3"/>
    <w:rsid w:val="00100335"/>
    <w:rsid w:val="0010241A"/>
    <w:rsid w:val="00102959"/>
    <w:rsid w:val="00102CE8"/>
    <w:rsid w:val="00103764"/>
    <w:rsid w:val="0010459C"/>
    <w:rsid w:val="001046AB"/>
    <w:rsid w:val="00105D8C"/>
    <w:rsid w:val="001062B5"/>
    <w:rsid w:val="00107B16"/>
    <w:rsid w:val="0011052E"/>
    <w:rsid w:val="001107F9"/>
    <w:rsid w:val="00111797"/>
    <w:rsid w:val="00111E7A"/>
    <w:rsid w:val="001127A1"/>
    <w:rsid w:val="00112DFD"/>
    <w:rsid w:val="00112F1B"/>
    <w:rsid w:val="00112FBF"/>
    <w:rsid w:val="00113B12"/>
    <w:rsid w:val="00114BD3"/>
    <w:rsid w:val="001211CF"/>
    <w:rsid w:val="001215F8"/>
    <w:rsid w:val="001224A4"/>
    <w:rsid w:val="001226EE"/>
    <w:rsid w:val="001228D5"/>
    <w:rsid w:val="00122A0F"/>
    <w:rsid w:val="00123425"/>
    <w:rsid w:val="00123F09"/>
    <w:rsid w:val="00123F26"/>
    <w:rsid w:val="00124A81"/>
    <w:rsid w:val="001267AD"/>
    <w:rsid w:val="00126E91"/>
    <w:rsid w:val="00126ED8"/>
    <w:rsid w:val="0013189B"/>
    <w:rsid w:val="0013321E"/>
    <w:rsid w:val="00133584"/>
    <w:rsid w:val="00134447"/>
    <w:rsid w:val="00135E3B"/>
    <w:rsid w:val="00136D14"/>
    <w:rsid w:val="00137257"/>
    <w:rsid w:val="001374E7"/>
    <w:rsid w:val="001378F1"/>
    <w:rsid w:val="00140670"/>
    <w:rsid w:val="001425C0"/>
    <w:rsid w:val="00142EBE"/>
    <w:rsid w:val="0014317F"/>
    <w:rsid w:val="00143D25"/>
    <w:rsid w:val="001466D5"/>
    <w:rsid w:val="00146F27"/>
    <w:rsid w:val="001472F7"/>
    <w:rsid w:val="001512EF"/>
    <w:rsid w:val="0015483B"/>
    <w:rsid w:val="00156044"/>
    <w:rsid w:val="00156D49"/>
    <w:rsid w:val="00156E95"/>
    <w:rsid w:val="00160230"/>
    <w:rsid w:val="0016043C"/>
    <w:rsid w:val="00162217"/>
    <w:rsid w:val="0016295E"/>
    <w:rsid w:val="00162B00"/>
    <w:rsid w:val="00162F52"/>
    <w:rsid w:val="001630BA"/>
    <w:rsid w:val="0016399A"/>
    <w:rsid w:val="00164A92"/>
    <w:rsid w:val="001701F4"/>
    <w:rsid w:val="0017075D"/>
    <w:rsid w:val="001721BB"/>
    <w:rsid w:val="001726DB"/>
    <w:rsid w:val="00172C21"/>
    <w:rsid w:val="001733C0"/>
    <w:rsid w:val="00175F38"/>
    <w:rsid w:val="00176E3A"/>
    <w:rsid w:val="0018035B"/>
    <w:rsid w:val="0018120D"/>
    <w:rsid w:val="001829B7"/>
    <w:rsid w:val="00182C65"/>
    <w:rsid w:val="00182F0A"/>
    <w:rsid w:val="001843EA"/>
    <w:rsid w:val="0018458D"/>
    <w:rsid w:val="00185437"/>
    <w:rsid w:val="001878AB"/>
    <w:rsid w:val="00191624"/>
    <w:rsid w:val="0019227F"/>
    <w:rsid w:val="0019377B"/>
    <w:rsid w:val="00194882"/>
    <w:rsid w:val="00195981"/>
    <w:rsid w:val="00196B2F"/>
    <w:rsid w:val="001A144A"/>
    <w:rsid w:val="001A1AD3"/>
    <w:rsid w:val="001A2264"/>
    <w:rsid w:val="001A22A0"/>
    <w:rsid w:val="001A269E"/>
    <w:rsid w:val="001A3AA3"/>
    <w:rsid w:val="001A40E5"/>
    <w:rsid w:val="001A4836"/>
    <w:rsid w:val="001A5F13"/>
    <w:rsid w:val="001A7070"/>
    <w:rsid w:val="001B29B7"/>
    <w:rsid w:val="001B2CDE"/>
    <w:rsid w:val="001B30D2"/>
    <w:rsid w:val="001B6634"/>
    <w:rsid w:val="001C038C"/>
    <w:rsid w:val="001C0F5A"/>
    <w:rsid w:val="001C4512"/>
    <w:rsid w:val="001C492E"/>
    <w:rsid w:val="001C54CE"/>
    <w:rsid w:val="001C592A"/>
    <w:rsid w:val="001C6B4C"/>
    <w:rsid w:val="001C6B64"/>
    <w:rsid w:val="001C75DB"/>
    <w:rsid w:val="001D006D"/>
    <w:rsid w:val="001D0163"/>
    <w:rsid w:val="001D1BBA"/>
    <w:rsid w:val="001D3345"/>
    <w:rsid w:val="001D497A"/>
    <w:rsid w:val="001E017F"/>
    <w:rsid w:val="001E07CA"/>
    <w:rsid w:val="001E0CA9"/>
    <w:rsid w:val="001E110D"/>
    <w:rsid w:val="001E2016"/>
    <w:rsid w:val="001E2823"/>
    <w:rsid w:val="001E54B0"/>
    <w:rsid w:val="001E5A66"/>
    <w:rsid w:val="001E65E5"/>
    <w:rsid w:val="001E6FCB"/>
    <w:rsid w:val="001E7042"/>
    <w:rsid w:val="001E7808"/>
    <w:rsid w:val="001F039E"/>
    <w:rsid w:val="001F0971"/>
    <w:rsid w:val="001F1816"/>
    <w:rsid w:val="001F202C"/>
    <w:rsid w:val="001F2756"/>
    <w:rsid w:val="001F2BA5"/>
    <w:rsid w:val="001F2EF9"/>
    <w:rsid w:val="001F3534"/>
    <w:rsid w:val="001F3D4B"/>
    <w:rsid w:val="001F40B5"/>
    <w:rsid w:val="001F4FAD"/>
    <w:rsid w:val="001F59DE"/>
    <w:rsid w:val="001F5C50"/>
    <w:rsid w:val="001F78DD"/>
    <w:rsid w:val="00202205"/>
    <w:rsid w:val="00202D13"/>
    <w:rsid w:val="00203EE4"/>
    <w:rsid w:val="00204391"/>
    <w:rsid w:val="002048FB"/>
    <w:rsid w:val="00204933"/>
    <w:rsid w:val="002049ED"/>
    <w:rsid w:val="00204DFE"/>
    <w:rsid w:val="002051D0"/>
    <w:rsid w:val="002061A1"/>
    <w:rsid w:val="0020678D"/>
    <w:rsid w:val="00207802"/>
    <w:rsid w:val="002109A0"/>
    <w:rsid w:val="0021203D"/>
    <w:rsid w:val="00212093"/>
    <w:rsid w:val="00213069"/>
    <w:rsid w:val="00213677"/>
    <w:rsid w:val="00213F69"/>
    <w:rsid w:val="00215442"/>
    <w:rsid w:val="00215597"/>
    <w:rsid w:val="00216367"/>
    <w:rsid w:val="002165BE"/>
    <w:rsid w:val="00216C50"/>
    <w:rsid w:val="00216C56"/>
    <w:rsid w:val="00217AF0"/>
    <w:rsid w:val="00217D31"/>
    <w:rsid w:val="00220065"/>
    <w:rsid w:val="002202F1"/>
    <w:rsid w:val="002213D5"/>
    <w:rsid w:val="00224650"/>
    <w:rsid w:val="00225E84"/>
    <w:rsid w:val="00230811"/>
    <w:rsid w:val="0023092C"/>
    <w:rsid w:val="00230A3D"/>
    <w:rsid w:val="00231338"/>
    <w:rsid w:val="00232599"/>
    <w:rsid w:val="00233359"/>
    <w:rsid w:val="002336D0"/>
    <w:rsid w:val="00233A4A"/>
    <w:rsid w:val="00233FA2"/>
    <w:rsid w:val="002340BB"/>
    <w:rsid w:val="00234A90"/>
    <w:rsid w:val="002365D7"/>
    <w:rsid w:val="002370F7"/>
    <w:rsid w:val="00237CF4"/>
    <w:rsid w:val="00241176"/>
    <w:rsid w:val="00243510"/>
    <w:rsid w:val="00243D0D"/>
    <w:rsid w:val="002458E3"/>
    <w:rsid w:val="00247847"/>
    <w:rsid w:val="002519D1"/>
    <w:rsid w:val="002521E4"/>
    <w:rsid w:val="002528A4"/>
    <w:rsid w:val="00252C7D"/>
    <w:rsid w:val="00252D88"/>
    <w:rsid w:val="002540C0"/>
    <w:rsid w:val="0025434A"/>
    <w:rsid w:val="00254FF7"/>
    <w:rsid w:val="002556C2"/>
    <w:rsid w:val="00255944"/>
    <w:rsid w:val="00255E11"/>
    <w:rsid w:val="002565A2"/>
    <w:rsid w:val="002568AB"/>
    <w:rsid w:val="00257B75"/>
    <w:rsid w:val="00262DBE"/>
    <w:rsid w:val="00263EB2"/>
    <w:rsid w:val="00264618"/>
    <w:rsid w:val="00264D00"/>
    <w:rsid w:val="002707E5"/>
    <w:rsid w:val="00272C5C"/>
    <w:rsid w:val="00272D33"/>
    <w:rsid w:val="0027341E"/>
    <w:rsid w:val="002737B9"/>
    <w:rsid w:val="00274671"/>
    <w:rsid w:val="002751D6"/>
    <w:rsid w:val="00275FD0"/>
    <w:rsid w:val="00276353"/>
    <w:rsid w:val="00277047"/>
    <w:rsid w:val="00277AC4"/>
    <w:rsid w:val="00277CE1"/>
    <w:rsid w:val="00283D95"/>
    <w:rsid w:val="00285CE3"/>
    <w:rsid w:val="00285F72"/>
    <w:rsid w:val="00290283"/>
    <w:rsid w:val="00290B4E"/>
    <w:rsid w:val="00291A39"/>
    <w:rsid w:val="0029260C"/>
    <w:rsid w:val="00293904"/>
    <w:rsid w:val="00296293"/>
    <w:rsid w:val="00297DAC"/>
    <w:rsid w:val="002A133B"/>
    <w:rsid w:val="002A1D7D"/>
    <w:rsid w:val="002A20AE"/>
    <w:rsid w:val="002A328B"/>
    <w:rsid w:val="002A33FD"/>
    <w:rsid w:val="002A4D51"/>
    <w:rsid w:val="002A53A4"/>
    <w:rsid w:val="002A546F"/>
    <w:rsid w:val="002A5A58"/>
    <w:rsid w:val="002A6FA1"/>
    <w:rsid w:val="002A7374"/>
    <w:rsid w:val="002B1B58"/>
    <w:rsid w:val="002B3F85"/>
    <w:rsid w:val="002B6EF2"/>
    <w:rsid w:val="002C1BD8"/>
    <w:rsid w:val="002C2E6D"/>
    <w:rsid w:val="002C3DC7"/>
    <w:rsid w:val="002C5689"/>
    <w:rsid w:val="002C5B94"/>
    <w:rsid w:val="002C658E"/>
    <w:rsid w:val="002C6AD8"/>
    <w:rsid w:val="002C6B9F"/>
    <w:rsid w:val="002C733F"/>
    <w:rsid w:val="002C7463"/>
    <w:rsid w:val="002C7513"/>
    <w:rsid w:val="002D2820"/>
    <w:rsid w:val="002D295C"/>
    <w:rsid w:val="002D4322"/>
    <w:rsid w:val="002D4817"/>
    <w:rsid w:val="002D70B2"/>
    <w:rsid w:val="002D72B2"/>
    <w:rsid w:val="002E0D6B"/>
    <w:rsid w:val="002E0F2F"/>
    <w:rsid w:val="002E28E0"/>
    <w:rsid w:val="002E32DC"/>
    <w:rsid w:val="002E45F0"/>
    <w:rsid w:val="002E57EC"/>
    <w:rsid w:val="002E5C70"/>
    <w:rsid w:val="002E7398"/>
    <w:rsid w:val="002F1EE9"/>
    <w:rsid w:val="002F3790"/>
    <w:rsid w:val="002F4837"/>
    <w:rsid w:val="002F48B5"/>
    <w:rsid w:val="002F4E74"/>
    <w:rsid w:val="002F519F"/>
    <w:rsid w:val="002F692D"/>
    <w:rsid w:val="002F79F9"/>
    <w:rsid w:val="002F7DAB"/>
    <w:rsid w:val="003004D6"/>
    <w:rsid w:val="00300E9D"/>
    <w:rsid w:val="00301ABD"/>
    <w:rsid w:val="00301DFE"/>
    <w:rsid w:val="00304561"/>
    <w:rsid w:val="00304ECD"/>
    <w:rsid w:val="00305667"/>
    <w:rsid w:val="00306198"/>
    <w:rsid w:val="0030626C"/>
    <w:rsid w:val="00307E53"/>
    <w:rsid w:val="003101CE"/>
    <w:rsid w:val="00310932"/>
    <w:rsid w:val="003118E0"/>
    <w:rsid w:val="00314964"/>
    <w:rsid w:val="00316022"/>
    <w:rsid w:val="003160E4"/>
    <w:rsid w:val="00316B80"/>
    <w:rsid w:val="0031777A"/>
    <w:rsid w:val="00317CD7"/>
    <w:rsid w:val="00320054"/>
    <w:rsid w:val="00321B66"/>
    <w:rsid w:val="00322D92"/>
    <w:rsid w:val="0032321D"/>
    <w:rsid w:val="00324553"/>
    <w:rsid w:val="00324686"/>
    <w:rsid w:val="003246EC"/>
    <w:rsid w:val="00324E95"/>
    <w:rsid w:val="00325D03"/>
    <w:rsid w:val="00325D5A"/>
    <w:rsid w:val="003269CE"/>
    <w:rsid w:val="00326C73"/>
    <w:rsid w:val="00327A8C"/>
    <w:rsid w:val="00327BC7"/>
    <w:rsid w:val="00327D49"/>
    <w:rsid w:val="00330471"/>
    <w:rsid w:val="00330783"/>
    <w:rsid w:val="00330DF9"/>
    <w:rsid w:val="003319F2"/>
    <w:rsid w:val="00331E61"/>
    <w:rsid w:val="00333719"/>
    <w:rsid w:val="00333751"/>
    <w:rsid w:val="003337E7"/>
    <w:rsid w:val="00333B26"/>
    <w:rsid w:val="003350AF"/>
    <w:rsid w:val="003360CE"/>
    <w:rsid w:val="0033665D"/>
    <w:rsid w:val="00336840"/>
    <w:rsid w:val="00337905"/>
    <w:rsid w:val="00337A9A"/>
    <w:rsid w:val="00340035"/>
    <w:rsid w:val="003407A8"/>
    <w:rsid w:val="00341A6A"/>
    <w:rsid w:val="00342296"/>
    <w:rsid w:val="0034294E"/>
    <w:rsid w:val="00342D0E"/>
    <w:rsid w:val="00343644"/>
    <w:rsid w:val="003465A0"/>
    <w:rsid w:val="00346743"/>
    <w:rsid w:val="003474C6"/>
    <w:rsid w:val="003500D9"/>
    <w:rsid w:val="00350FD4"/>
    <w:rsid w:val="003518E4"/>
    <w:rsid w:val="00351A5F"/>
    <w:rsid w:val="00352134"/>
    <w:rsid w:val="00352684"/>
    <w:rsid w:val="00352CBB"/>
    <w:rsid w:val="0035316D"/>
    <w:rsid w:val="0035323E"/>
    <w:rsid w:val="00355969"/>
    <w:rsid w:val="00355F32"/>
    <w:rsid w:val="003568C2"/>
    <w:rsid w:val="00356A91"/>
    <w:rsid w:val="003600FF"/>
    <w:rsid w:val="003609C3"/>
    <w:rsid w:val="00361A93"/>
    <w:rsid w:val="00361A99"/>
    <w:rsid w:val="00361E00"/>
    <w:rsid w:val="003621F0"/>
    <w:rsid w:val="0036220B"/>
    <w:rsid w:val="00363A7D"/>
    <w:rsid w:val="003647B6"/>
    <w:rsid w:val="00365695"/>
    <w:rsid w:val="0036575E"/>
    <w:rsid w:val="003665BB"/>
    <w:rsid w:val="00367F7B"/>
    <w:rsid w:val="00370071"/>
    <w:rsid w:val="00370346"/>
    <w:rsid w:val="003745FF"/>
    <w:rsid w:val="00374DE5"/>
    <w:rsid w:val="0037513D"/>
    <w:rsid w:val="003752DE"/>
    <w:rsid w:val="00375991"/>
    <w:rsid w:val="00376B69"/>
    <w:rsid w:val="00380751"/>
    <w:rsid w:val="00380E74"/>
    <w:rsid w:val="00382117"/>
    <w:rsid w:val="003821F4"/>
    <w:rsid w:val="00382610"/>
    <w:rsid w:val="00382775"/>
    <w:rsid w:val="00382E6D"/>
    <w:rsid w:val="0038326B"/>
    <w:rsid w:val="00384616"/>
    <w:rsid w:val="0038690C"/>
    <w:rsid w:val="00386A27"/>
    <w:rsid w:val="00390C86"/>
    <w:rsid w:val="00390CFC"/>
    <w:rsid w:val="00391459"/>
    <w:rsid w:val="00393350"/>
    <w:rsid w:val="0039559D"/>
    <w:rsid w:val="00395A27"/>
    <w:rsid w:val="0039649D"/>
    <w:rsid w:val="00396F9F"/>
    <w:rsid w:val="003A0576"/>
    <w:rsid w:val="003A1C5E"/>
    <w:rsid w:val="003A4500"/>
    <w:rsid w:val="003A47FA"/>
    <w:rsid w:val="003A667F"/>
    <w:rsid w:val="003A66B3"/>
    <w:rsid w:val="003A6881"/>
    <w:rsid w:val="003A75B1"/>
    <w:rsid w:val="003B30DC"/>
    <w:rsid w:val="003B3F9B"/>
    <w:rsid w:val="003B401F"/>
    <w:rsid w:val="003B59AF"/>
    <w:rsid w:val="003B767F"/>
    <w:rsid w:val="003C0A73"/>
    <w:rsid w:val="003C1CE5"/>
    <w:rsid w:val="003C6117"/>
    <w:rsid w:val="003D191E"/>
    <w:rsid w:val="003D1CBC"/>
    <w:rsid w:val="003D1FA9"/>
    <w:rsid w:val="003D244E"/>
    <w:rsid w:val="003D77B6"/>
    <w:rsid w:val="003E0359"/>
    <w:rsid w:val="003E0401"/>
    <w:rsid w:val="003E1DF7"/>
    <w:rsid w:val="003E20D8"/>
    <w:rsid w:val="003E3230"/>
    <w:rsid w:val="003E3715"/>
    <w:rsid w:val="003E37F1"/>
    <w:rsid w:val="003E3D5D"/>
    <w:rsid w:val="003E4D05"/>
    <w:rsid w:val="003E4E5F"/>
    <w:rsid w:val="003E508C"/>
    <w:rsid w:val="003E6176"/>
    <w:rsid w:val="003E62F7"/>
    <w:rsid w:val="003F0C76"/>
    <w:rsid w:val="003F132B"/>
    <w:rsid w:val="003F1580"/>
    <w:rsid w:val="003F16BF"/>
    <w:rsid w:val="003F1AA5"/>
    <w:rsid w:val="003F21D9"/>
    <w:rsid w:val="003F21ED"/>
    <w:rsid w:val="003F27D2"/>
    <w:rsid w:val="003F325E"/>
    <w:rsid w:val="003F3DAC"/>
    <w:rsid w:val="003F4A88"/>
    <w:rsid w:val="003F6B01"/>
    <w:rsid w:val="00400A03"/>
    <w:rsid w:val="004016E4"/>
    <w:rsid w:val="00402B77"/>
    <w:rsid w:val="00405B2A"/>
    <w:rsid w:val="00406A5A"/>
    <w:rsid w:val="00406FE8"/>
    <w:rsid w:val="004070AE"/>
    <w:rsid w:val="00410CD6"/>
    <w:rsid w:val="00414559"/>
    <w:rsid w:val="00416C9F"/>
    <w:rsid w:val="004174EE"/>
    <w:rsid w:val="00417C10"/>
    <w:rsid w:val="00421194"/>
    <w:rsid w:val="00421297"/>
    <w:rsid w:val="004213C2"/>
    <w:rsid w:val="004216FB"/>
    <w:rsid w:val="00422221"/>
    <w:rsid w:val="00422A50"/>
    <w:rsid w:val="00424D17"/>
    <w:rsid w:val="004253F9"/>
    <w:rsid w:val="0042581D"/>
    <w:rsid w:val="00425ED6"/>
    <w:rsid w:val="004273C4"/>
    <w:rsid w:val="004273E6"/>
    <w:rsid w:val="0043259C"/>
    <w:rsid w:val="0043548B"/>
    <w:rsid w:val="00435542"/>
    <w:rsid w:val="00435838"/>
    <w:rsid w:val="00435CDF"/>
    <w:rsid w:val="00435E24"/>
    <w:rsid w:val="00436D5C"/>
    <w:rsid w:val="00437A7C"/>
    <w:rsid w:val="004400EC"/>
    <w:rsid w:val="00441DE3"/>
    <w:rsid w:val="00442D66"/>
    <w:rsid w:val="004442D4"/>
    <w:rsid w:val="00444AEB"/>
    <w:rsid w:val="00445AF2"/>
    <w:rsid w:val="00451888"/>
    <w:rsid w:val="00451DE2"/>
    <w:rsid w:val="0045309A"/>
    <w:rsid w:val="00453E0C"/>
    <w:rsid w:val="00454316"/>
    <w:rsid w:val="00461E5D"/>
    <w:rsid w:val="00461F1D"/>
    <w:rsid w:val="00462710"/>
    <w:rsid w:val="0046298A"/>
    <w:rsid w:val="00462C5A"/>
    <w:rsid w:val="00464043"/>
    <w:rsid w:val="00464290"/>
    <w:rsid w:val="004642E2"/>
    <w:rsid w:val="00464A37"/>
    <w:rsid w:val="00464C56"/>
    <w:rsid w:val="00464CE0"/>
    <w:rsid w:val="004650E2"/>
    <w:rsid w:val="004654E4"/>
    <w:rsid w:val="0046581E"/>
    <w:rsid w:val="00467D46"/>
    <w:rsid w:val="00471B24"/>
    <w:rsid w:val="00472167"/>
    <w:rsid w:val="0047541E"/>
    <w:rsid w:val="00475777"/>
    <w:rsid w:val="00476370"/>
    <w:rsid w:val="0047645E"/>
    <w:rsid w:val="00476FFA"/>
    <w:rsid w:val="00481CAD"/>
    <w:rsid w:val="00481EBC"/>
    <w:rsid w:val="00482302"/>
    <w:rsid w:val="00482D77"/>
    <w:rsid w:val="004830C9"/>
    <w:rsid w:val="00483D80"/>
    <w:rsid w:val="00483E9F"/>
    <w:rsid w:val="0048507A"/>
    <w:rsid w:val="00485CD2"/>
    <w:rsid w:val="00486830"/>
    <w:rsid w:val="004868C7"/>
    <w:rsid w:val="00487C0F"/>
    <w:rsid w:val="0049032E"/>
    <w:rsid w:val="00490C22"/>
    <w:rsid w:val="004920D6"/>
    <w:rsid w:val="00492580"/>
    <w:rsid w:val="004927A0"/>
    <w:rsid w:val="00492DB6"/>
    <w:rsid w:val="00494609"/>
    <w:rsid w:val="0049523B"/>
    <w:rsid w:val="00496249"/>
    <w:rsid w:val="00496355"/>
    <w:rsid w:val="004966D6"/>
    <w:rsid w:val="00497BA1"/>
    <w:rsid w:val="004A10F2"/>
    <w:rsid w:val="004A2991"/>
    <w:rsid w:val="004A2B5B"/>
    <w:rsid w:val="004A3338"/>
    <w:rsid w:val="004A414D"/>
    <w:rsid w:val="004A4E01"/>
    <w:rsid w:val="004A4FB2"/>
    <w:rsid w:val="004A7D65"/>
    <w:rsid w:val="004B03FB"/>
    <w:rsid w:val="004B0A0D"/>
    <w:rsid w:val="004B169E"/>
    <w:rsid w:val="004B2563"/>
    <w:rsid w:val="004B3C19"/>
    <w:rsid w:val="004B4786"/>
    <w:rsid w:val="004B5ED3"/>
    <w:rsid w:val="004C01E1"/>
    <w:rsid w:val="004C0760"/>
    <w:rsid w:val="004C153D"/>
    <w:rsid w:val="004C1670"/>
    <w:rsid w:val="004C2087"/>
    <w:rsid w:val="004C2C86"/>
    <w:rsid w:val="004C3292"/>
    <w:rsid w:val="004C3B03"/>
    <w:rsid w:val="004C49FD"/>
    <w:rsid w:val="004C556E"/>
    <w:rsid w:val="004C64B7"/>
    <w:rsid w:val="004C68D7"/>
    <w:rsid w:val="004C6A93"/>
    <w:rsid w:val="004C6DD1"/>
    <w:rsid w:val="004C7066"/>
    <w:rsid w:val="004D07C4"/>
    <w:rsid w:val="004D0D76"/>
    <w:rsid w:val="004D113D"/>
    <w:rsid w:val="004D276F"/>
    <w:rsid w:val="004D29FF"/>
    <w:rsid w:val="004D3F1C"/>
    <w:rsid w:val="004D6439"/>
    <w:rsid w:val="004D78F0"/>
    <w:rsid w:val="004E0AB8"/>
    <w:rsid w:val="004E0F65"/>
    <w:rsid w:val="004E118E"/>
    <w:rsid w:val="004E2A48"/>
    <w:rsid w:val="004E4A43"/>
    <w:rsid w:val="004E5D0A"/>
    <w:rsid w:val="004E7170"/>
    <w:rsid w:val="004E77D6"/>
    <w:rsid w:val="004E78E7"/>
    <w:rsid w:val="004F11C1"/>
    <w:rsid w:val="004F1C28"/>
    <w:rsid w:val="004F2379"/>
    <w:rsid w:val="004F27D8"/>
    <w:rsid w:val="004F2ADF"/>
    <w:rsid w:val="004F2ECB"/>
    <w:rsid w:val="004F3A06"/>
    <w:rsid w:val="004F4083"/>
    <w:rsid w:val="004F40F5"/>
    <w:rsid w:val="004F4E5C"/>
    <w:rsid w:val="004F53F2"/>
    <w:rsid w:val="004F5E80"/>
    <w:rsid w:val="004F69F9"/>
    <w:rsid w:val="004F6ADC"/>
    <w:rsid w:val="004F7517"/>
    <w:rsid w:val="00500F89"/>
    <w:rsid w:val="005011B4"/>
    <w:rsid w:val="00502378"/>
    <w:rsid w:val="00502758"/>
    <w:rsid w:val="00502887"/>
    <w:rsid w:val="00502C78"/>
    <w:rsid w:val="0050334A"/>
    <w:rsid w:val="00503DAF"/>
    <w:rsid w:val="005053E4"/>
    <w:rsid w:val="00506C1E"/>
    <w:rsid w:val="00506CB5"/>
    <w:rsid w:val="00506D2C"/>
    <w:rsid w:val="00507083"/>
    <w:rsid w:val="005072B4"/>
    <w:rsid w:val="00510989"/>
    <w:rsid w:val="00510A0D"/>
    <w:rsid w:val="005113DC"/>
    <w:rsid w:val="00511445"/>
    <w:rsid w:val="0051272A"/>
    <w:rsid w:val="005127A0"/>
    <w:rsid w:val="00514034"/>
    <w:rsid w:val="0051559E"/>
    <w:rsid w:val="0051645D"/>
    <w:rsid w:val="005165A8"/>
    <w:rsid w:val="005201DD"/>
    <w:rsid w:val="00522786"/>
    <w:rsid w:val="0052413B"/>
    <w:rsid w:val="00524B92"/>
    <w:rsid w:val="00525557"/>
    <w:rsid w:val="0052562F"/>
    <w:rsid w:val="005263D3"/>
    <w:rsid w:val="00527292"/>
    <w:rsid w:val="005274D2"/>
    <w:rsid w:val="00532891"/>
    <w:rsid w:val="00534148"/>
    <w:rsid w:val="00535110"/>
    <w:rsid w:val="0053590D"/>
    <w:rsid w:val="0053648F"/>
    <w:rsid w:val="00537097"/>
    <w:rsid w:val="00537406"/>
    <w:rsid w:val="005405BE"/>
    <w:rsid w:val="005409D7"/>
    <w:rsid w:val="00540CC1"/>
    <w:rsid w:val="00542340"/>
    <w:rsid w:val="005436DE"/>
    <w:rsid w:val="005457A5"/>
    <w:rsid w:val="00545ACE"/>
    <w:rsid w:val="00545CEA"/>
    <w:rsid w:val="00546DF8"/>
    <w:rsid w:val="00547333"/>
    <w:rsid w:val="005501F3"/>
    <w:rsid w:val="00550520"/>
    <w:rsid w:val="005514B0"/>
    <w:rsid w:val="00552697"/>
    <w:rsid w:val="00552B97"/>
    <w:rsid w:val="0055411C"/>
    <w:rsid w:val="0055489D"/>
    <w:rsid w:val="005550FA"/>
    <w:rsid w:val="005559AB"/>
    <w:rsid w:val="00557AD4"/>
    <w:rsid w:val="00557EB8"/>
    <w:rsid w:val="00557EE6"/>
    <w:rsid w:val="0056041D"/>
    <w:rsid w:val="00561CD2"/>
    <w:rsid w:val="00563F8E"/>
    <w:rsid w:val="00566457"/>
    <w:rsid w:val="00566D98"/>
    <w:rsid w:val="0056711C"/>
    <w:rsid w:val="0056777C"/>
    <w:rsid w:val="00571F82"/>
    <w:rsid w:val="0057217C"/>
    <w:rsid w:val="00573973"/>
    <w:rsid w:val="005743AC"/>
    <w:rsid w:val="0057454F"/>
    <w:rsid w:val="00575ACE"/>
    <w:rsid w:val="005771E8"/>
    <w:rsid w:val="00581030"/>
    <w:rsid w:val="00581F49"/>
    <w:rsid w:val="0058205A"/>
    <w:rsid w:val="0058216D"/>
    <w:rsid w:val="00582EA2"/>
    <w:rsid w:val="00585BBC"/>
    <w:rsid w:val="00587DAB"/>
    <w:rsid w:val="00587DF8"/>
    <w:rsid w:val="005907C9"/>
    <w:rsid w:val="0059103D"/>
    <w:rsid w:val="0059265A"/>
    <w:rsid w:val="00592F1F"/>
    <w:rsid w:val="00594858"/>
    <w:rsid w:val="00594E68"/>
    <w:rsid w:val="00594EE8"/>
    <w:rsid w:val="005950FA"/>
    <w:rsid w:val="0059534F"/>
    <w:rsid w:val="00595C06"/>
    <w:rsid w:val="00596339"/>
    <w:rsid w:val="00596C1D"/>
    <w:rsid w:val="00597175"/>
    <w:rsid w:val="005A1303"/>
    <w:rsid w:val="005A42AE"/>
    <w:rsid w:val="005A4B34"/>
    <w:rsid w:val="005A4C6F"/>
    <w:rsid w:val="005A60FC"/>
    <w:rsid w:val="005A6620"/>
    <w:rsid w:val="005A6623"/>
    <w:rsid w:val="005A79CB"/>
    <w:rsid w:val="005A7C00"/>
    <w:rsid w:val="005B124D"/>
    <w:rsid w:val="005B2388"/>
    <w:rsid w:val="005B283E"/>
    <w:rsid w:val="005B45FE"/>
    <w:rsid w:val="005B487C"/>
    <w:rsid w:val="005B4931"/>
    <w:rsid w:val="005B54D0"/>
    <w:rsid w:val="005C243F"/>
    <w:rsid w:val="005C3B5C"/>
    <w:rsid w:val="005C4007"/>
    <w:rsid w:val="005C4B7D"/>
    <w:rsid w:val="005C4D77"/>
    <w:rsid w:val="005C7579"/>
    <w:rsid w:val="005C7A00"/>
    <w:rsid w:val="005C7F7D"/>
    <w:rsid w:val="005D0882"/>
    <w:rsid w:val="005D1093"/>
    <w:rsid w:val="005D17C7"/>
    <w:rsid w:val="005D2297"/>
    <w:rsid w:val="005D2F26"/>
    <w:rsid w:val="005D2F62"/>
    <w:rsid w:val="005D3309"/>
    <w:rsid w:val="005D7E1C"/>
    <w:rsid w:val="005E152D"/>
    <w:rsid w:val="005E1817"/>
    <w:rsid w:val="005E286F"/>
    <w:rsid w:val="005E2D96"/>
    <w:rsid w:val="005E35B2"/>
    <w:rsid w:val="005E430E"/>
    <w:rsid w:val="005E55BF"/>
    <w:rsid w:val="005E58E9"/>
    <w:rsid w:val="005F2559"/>
    <w:rsid w:val="005F355E"/>
    <w:rsid w:val="005F40B9"/>
    <w:rsid w:val="005F45B4"/>
    <w:rsid w:val="005F4C66"/>
    <w:rsid w:val="005F4CEA"/>
    <w:rsid w:val="005F53BE"/>
    <w:rsid w:val="005F547A"/>
    <w:rsid w:val="005F5C5C"/>
    <w:rsid w:val="005F73A0"/>
    <w:rsid w:val="005F7809"/>
    <w:rsid w:val="005F792C"/>
    <w:rsid w:val="005F79D3"/>
    <w:rsid w:val="00600097"/>
    <w:rsid w:val="00602109"/>
    <w:rsid w:val="0060230F"/>
    <w:rsid w:val="00602494"/>
    <w:rsid w:val="006036C2"/>
    <w:rsid w:val="00604E13"/>
    <w:rsid w:val="00605413"/>
    <w:rsid w:val="00605890"/>
    <w:rsid w:val="00606041"/>
    <w:rsid w:val="00606460"/>
    <w:rsid w:val="006073DB"/>
    <w:rsid w:val="0061153A"/>
    <w:rsid w:val="0061371C"/>
    <w:rsid w:val="00613751"/>
    <w:rsid w:val="00613FCA"/>
    <w:rsid w:val="0061758A"/>
    <w:rsid w:val="00621F5A"/>
    <w:rsid w:val="0062372C"/>
    <w:rsid w:val="00625F5A"/>
    <w:rsid w:val="00625F88"/>
    <w:rsid w:val="006264FB"/>
    <w:rsid w:val="0062650C"/>
    <w:rsid w:val="006272F9"/>
    <w:rsid w:val="006312BE"/>
    <w:rsid w:val="00632CF4"/>
    <w:rsid w:val="00635EEC"/>
    <w:rsid w:val="00637568"/>
    <w:rsid w:val="00640B00"/>
    <w:rsid w:val="0064280A"/>
    <w:rsid w:val="00642842"/>
    <w:rsid w:val="00644083"/>
    <w:rsid w:val="0064488E"/>
    <w:rsid w:val="00644DA8"/>
    <w:rsid w:val="00645EFC"/>
    <w:rsid w:val="00647129"/>
    <w:rsid w:val="00650478"/>
    <w:rsid w:val="006513AF"/>
    <w:rsid w:val="00652594"/>
    <w:rsid w:val="00652BDC"/>
    <w:rsid w:val="00655E2A"/>
    <w:rsid w:val="00660B74"/>
    <w:rsid w:val="006614D8"/>
    <w:rsid w:val="006614E1"/>
    <w:rsid w:val="00661D13"/>
    <w:rsid w:val="00662276"/>
    <w:rsid w:val="00662667"/>
    <w:rsid w:val="0066326A"/>
    <w:rsid w:val="00664149"/>
    <w:rsid w:val="00665415"/>
    <w:rsid w:val="006664B8"/>
    <w:rsid w:val="00666A81"/>
    <w:rsid w:val="00666AB3"/>
    <w:rsid w:val="00670B25"/>
    <w:rsid w:val="00672CC5"/>
    <w:rsid w:val="00672F5C"/>
    <w:rsid w:val="00672F62"/>
    <w:rsid w:val="00674961"/>
    <w:rsid w:val="00675455"/>
    <w:rsid w:val="00675CA5"/>
    <w:rsid w:val="00676083"/>
    <w:rsid w:val="006761CB"/>
    <w:rsid w:val="006767F5"/>
    <w:rsid w:val="00676C44"/>
    <w:rsid w:val="00677880"/>
    <w:rsid w:val="00680AD9"/>
    <w:rsid w:val="00681430"/>
    <w:rsid w:val="006819BB"/>
    <w:rsid w:val="00682866"/>
    <w:rsid w:val="00683F02"/>
    <w:rsid w:val="006852EA"/>
    <w:rsid w:val="00691E73"/>
    <w:rsid w:val="006927F2"/>
    <w:rsid w:val="00693886"/>
    <w:rsid w:val="006956CB"/>
    <w:rsid w:val="006967A4"/>
    <w:rsid w:val="00697CB3"/>
    <w:rsid w:val="006A19A8"/>
    <w:rsid w:val="006A2EF9"/>
    <w:rsid w:val="006A3B3E"/>
    <w:rsid w:val="006A3E7E"/>
    <w:rsid w:val="006A58FE"/>
    <w:rsid w:val="006A78DE"/>
    <w:rsid w:val="006B019F"/>
    <w:rsid w:val="006B0402"/>
    <w:rsid w:val="006B0A8F"/>
    <w:rsid w:val="006B1D39"/>
    <w:rsid w:val="006B2EC9"/>
    <w:rsid w:val="006B3131"/>
    <w:rsid w:val="006B34F3"/>
    <w:rsid w:val="006B40C4"/>
    <w:rsid w:val="006B7725"/>
    <w:rsid w:val="006B785B"/>
    <w:rsid w:val="006C197B"/>
    <w:rsid w:val="006C26A7"/>
    <w:rsid w:val="006C338D"/>
    <w:rsid w:val="006C6433"/>
    <w:rsid w:val="006C7FF4"/>
    <w:rsid w:val="006D0328"/>
    <w:rsid w:val="006D0C8C"/>
    <w:rsid w:val="006D2424"/>
    <w:rsid w:val="006D2C56"/>
    <w:rsid w:val="006D4E23"/>
    <w:rsid w:val="006D79BD"/>
    <w:rsid w:val="006D7AD4"/>
    <w:rsid w:val="006E013F"/>
    <w:rsid w:val="006E27C6"/>
    <w:rsid w:val="006E56C2"/>
    <w:rsid w:val="006E5975"/>
    <w:rsid w:val="006E63D2"/>
    <w:rsid w:val="006F0E86"/>
    <w:rsid w:val="006F30B3"/>
    <w:rsid w:val="006F36DB"/>
    <w:rsid w:val="006F405E"/>
    <w:rsid w:val="006F418D"/>
    <w:rsid w:val="006F4A12"/>
    <w:rsid w:val="006F4AB4"/>
    <w:rsid w:val="006F60CC"/>
    <w:rsid w:val="006F69C2"/>
    <w:rsid w:val="006F6A54"/>
    <w:rsid w:val="006F7E8F"/>
    <w:rsid w:val="00700CEC"/>
    <w:rsid w:val="007034B0"/>
    <w:rsid w:val="007045BF"/>
    <w:rsid w:val="00705007"/>
    <w:rsid w:val="00707ED7"/>
    <w:rsid w:val="00707EED"/>
    <w:rsid w:val="007103E9"/>
    <w:rsid w:val="00710953"/>
    <w:rsid w:val="00710BA4"/>
    <w:rsid w:val="00711010"/>
    <w:rsid w:val="00712218"/>
    <w:rsid w:val="00712A83"/>
    <w:rsid w:val="00713B26"/>
    <w:rsid w:val="00713FEB"/>
    <w:rsid w:val="00714F2D"/>
    <w:rsid w:val="0071561B"/>
    <w:rsid w:val="00717344"/>
    <w:rsid w:val="007173CE"/>
    <w:rsid w:val="00717939"/>
    <w:rsid w:val="007240CF"/>
    <w:rsid w:val="0072437B"/>
    <w:rsid w:val="00727093"/>
    <w:rsid w:val="007304F9"/>
    <w:rsid w:val="007309ED"/>
    <w:rsid w:val="00730AC8"/>
    <w:rsid w:val="00732CBA"/>
    <w:rsid w:val="0073340D"/>
    <w:rsid w:val="0073425B"/>
    <w:rsid w:val="00735188"/>
    <w:rsid w:val="00736F45"/>
    <w:rsid w:val="00737169"/>
    <w:rsid w:val="0074234C"/>
    <w:rsid w:val="007467C4"/>
    <w:rsid w:val="007467E4"/>
    <w:rsid w:val="007468ED"/>
    <w:rsid w:val="00746E71"/>
    <w:rsid w:val="007470A6"/>
    <w:rsid w:val="00747869"/>
    <w:rsid w:val="00747E59"/>
    <w:rsid w:val="00750166"/>
    <w:rsid w:val="007527B7"/>
    <w:rsid w:val="00752B37"/>
    <w:rsid w:val="00753227"/>
    <w:rsid w:val="00753631"/>
    <w:rsid w:val="007542A8"/>
    <w:rsid w:val="0075491E"/>
    <w:rsid w:val="00754D00"/>
    <w:rsid w:val="00755521"/>
    <w:rsid w:val="007559D6"/>
    <w:rsid w:val="00755E09"/>
    <w:rsid w:val="007567B2"/>
    <w:rsid w:val="00757E84"/>
    <w:rsid w:val="00760311"/>
    <w:rsid w:val="00761651"/>
    <w:rsid w:val="007617C1"/>
    <w:rsid w:val="00762F8A"/>
    <w:rsid w:val="00766B06"/>
    <w:rsid w:val="00767BFE"/>
    <w:rsid w:val="007717FD"/>
    <w:rsid w:val="00773290"/>
    <w:rsid w:val="00773C2B"/>
    <w:rsid w:val="00774F28"/>
    <w:rsid w:val="007757B1"/>
    <w:rsid w:val="007770E8"/>
    <w:rsid w:val="00777A9C"/>
    <w:rsid w:val="007822C6"/>
    <w:rsid w:val="0078267A"/>
    <w:rsid w:val="00782E1F"/>
    <w:rsid w:val="007836A5"/>
    <w:rsid w:val="00784C19"/>
    <w:rsid w:val="00786DEA"/>
    <w:rsid w:val="007874BE"/>
    <w:rsid w:val="007902B6"/>
    <w:rsid w:val="007908F3"/>
    <w:rsid w:val="007909B6"/>
    <w:rsid w:val="00790AA4"/>
    <w:rsid w:val="00791105"/>
    <w:rsid w:val="00792183"/>
    <w:rsid w:val="0079318C"/>
    <w:rsid w:val="00793A0D"/>
    <w:rsid w:val="007966D5"/>
    <w:rsid w:val="007A1BC4"/>
    <w:rsid w:val="007A23E0"/>
    <w:rsid w:val="007A27C0"/>
    <w:rsid w:val="007A3267"/>
    <w:rsid w:val="007A3759"/>
    <w:rsid w:val="007A3AF3"/>
    <w:rsid w:val="007A4340"/>
    <w:rsid w:val="007A4E7F"/>
    <w:rsid w:val="007A5B4E"/>
    <w:rsid w:val="007A6042"/>
    <w:rsid w:val="007A616B"/>
    <w:rsid w:val="007A618F"/>
    <w:rsid w:val="007A798C"/>
    <w:rsid w:val="007B0293"/>
    <w:rsid w:val="007B05DD"/>
    <w:rsid w:val="007B21E7"/>
    <w:rsid w:val="007B3D5B"/>
    <w:rsid w:val="007B437A"/>
    <w:rsid w:val="007B49F6"/>
    <w:rsid w:val="007B61A9"/>
    <w:rsid w:val="007B7A43"/>
    <w:rsid w:val="007B7D86"/>
    <w:rsid w:val="007C04ED"/>
    <w:rsid w:val="007C0613"/>
    <w:rsid w:val="007C0C6A"/>
    <w:rsid w:val="007C1EB2"/>
    <w:rsid w:val="007C22DC"/>
    <w:rsid w:val="007C2BF4"/>
    <w:rsid w:val="007C5FD0"/>
    <w:rsid w:val="007C7343"/>
    <w:rsid w:val="007C7A38"/>
    <w:rsid w:val="007D158F"/>
    <w:rsid w:val="007D2776"/>
    <w:rsid w:val="007D2F57"/>
    <w:rsid w:val="007D38AD"/>
    <w:rsid w:val="007D3FEA"/>
    <w:rsid w:val="007D4BE7"/>
    <w:rsid w:val="007D58E4"/>
    <w:rsid w:val="007D5EEA"/>
    <w:rsid w:val="007D63EE"/>
    <w:rsid w:val="007E0697"/>
    <w:rsid w:val="007E08CF"/>
    <w:rsid w:val="007E3303"/>
    <w:rsid w:val="007E3757"/>
    <w:rsid w:val="007E3DD4"/>
    <w:rsid w:val="007E56B5"/>
    <w:rsid w:val="007E75A7"/>
    <w:rsid w:val="007E7AAD"/>
    <w:rsid w:val="007E7D17"/>
    <w:rsid w:val="007F0673"/>
    <w:rsid w:val="007F11AB"/>
    <w:rsid w:val="007F1E29"/>
    <w:rsid w:val="007F2C58"/>
    <w:rsid w:val="007F3728"/>
    <w:rsid w:val="007F3E83"/>
    <w:rsid w:val="007F4512"/>
    <w:rsid w:val="007F4653"/>
    <w:rsid w:val="007F69BA"/>
    <w:rsid w:val="00800139"/>
    <w:rsid w:val="008020E2"/>
    <w:rsid w:val="00802823"/>
    <w:rsid w:val="008029B4"/>
    <w:rsid w:val="00803341"/>
    <w:rsid w:val="0080517D"/>
    <w:rsid w:val="0080537C"/>
    <w:rsid w:val="0080556A"/>
    <w:rsid w:val="00805652"/>
    <w:rsid w:val="008056E6"/>
    <w:rsid w:val="00805F5E"/>
    <w:rsid w:val="008072AE"/>
    <w:rsid w:val="00810BF1"/>
    <w:rsid w:val="0081252C"/>
    <w:rsid w:val="00812A1C"/>
    <w:rsid w:val="0081319D"/>
    <w:rsid w:val="008155F4"/>
    <w:rsid w:val="00815CBA"/>
    <w:rsid w:val="008170B1"/>
    <w:rsid w:val="008170D7"/>
    <w:rsid w:val="008205F7"/>
    <w:rsid w:val="00821385"/>
    <w:rsid w:val="00821AAD"/>
    <w:rsid w:val="00823FAA"/>
    <w:rsid w:val="008241A0"/>
    <w:rsid w:val="008251B2"/>
    <w:rsid w:val="008255A8"/>
    <w:rsid w:val="008272E2"/>
    <w:rsid w:val="00827652"/>
    <w:rsid w:val="00830209"/>
    <w:rsid w:val="00831F5C"/>
    <w:rsid w:val="00832C88"/>
    <w:rsid w:val="008343EA"/>
    <w:rsid w:val="00834FDE"/>
    <w:rsid w:val="008359C5"/>
    <w:rsid w:val="00836D40"/>
    <w:rsid w:val="00837CAA"/>
    <w:rsid w:val="008405DB"/>
    <w:rsid w:val="008419C5"/>
    <w:rsid w:val="00841A6F"/>
    <w:rsid w:val="00841CAF"/>
    <w:rsid w:val="008435B4"/>
    <w:rsid w:val="00843FA7"/>
    <w:rsid w:val="00844828"/>
    <w:rsid w:val="00844CD8"/>
    <w:rsid w:val="0084562A"/>
    <w:rsid w:val="00846205"/>
    <w:rsid w:val="00850718"/>
    <w:rsid w:val="00851377"/>
    <w:rsid w:val="008527FF"/>
    <w:rsid w:val="00852D73"/>
    <w:rsid w:val="008553C9"/>
    <w:rsid w:val="008554CF"/>
    <w:rsid w:val="008559DF"/>
    <w:rsid w:val="00855BDA"/>
    <w:rsid w:val="00860172"/>
    <w:rsid w:val="00860C9B"/>
    <w:rsid w:val="0086599B"/>
    <w:rsid w:val="0086640C"/>
    <w:rsid w:val="00867175"/>
    <w:rsid w:val="00867D3E"/>
    <w:rsid w:val="00867E66"/>
    <w:rsid w:val="008705D3"/>
    <w:rsid w:val="00870A6A"/>
    <w:rsid w:val="0087201C"/>
    <w:rsid w:val="00872297"/>
    <w:rsid w:val="008724EF"/>
    <w:rsid w:val="00872BEF"/>
    <w:rsid w:val="00873E63"/>
    <w:rsid w:val="00873F34"/>
    <w:rsid w:val="008741C9"/>
    <w:rsid w:val="0087654F"/>
    <w:rsid w:val="0088023E"/>
    <w:rsid w:val="00880847"/>
    <w:rsid w:val="00881F27"/>
    <w:rsid w:val="00882D54"/>
    <w:rsid w:val="00885941"/>
    <w:rsid w:val="00886B97"/>
    <w:rsid w:val="0088770A"/>
    <w:rsid w:val="00887775"/>
    <w:rsid w:val="00887EB9"/>
    <w:rsid w:val="00890454"/>
    <w:rsid w:val="00890766"/>
    <w:rsid w:val="00891C6C"/>
    <w:rsid w:val="00893398"/>
    <w:rsid w:val="00893FC6"/>
    <w:rsid w:val="0089446E"/>
    <w:rsid w:val="00897F69"/>
    <w:rsid w:val="008A136A"/>
    <w:rsid w:val="008A15A2"/>
    <w:rsid w:val="008A342F"/>
    <w:rsid w:val="008A55CA"/>
    <w:rsid w:val="008B10D4"/>
    <w:rsid w:val="008B2E7C"/>
    <w:rsid w:val="008B3796"/>
    <w:rsid w:val="008B472B"/>
    <w:rsid w:val="008B5CFD"/>
    <w:rsid w:val="008B6430"/>
    <w:rsid w:val="008B6CF0"/>
    <w:rsid w:val="008B7043"/>
    <w:rsid w:val="008B7093"/>
    <w:rsid w:val="008B7913"/>
    <w:rsid w:val="008C0849"/>
    <w:rsid w:val="008C22CC"/>
    <w:rsid w:val="008C4281"/>
    <w:rsid w:val="008C72A3"/>
    <w:rsid w:val="008C763F"/>
    <w:rsid w:val="008C76D0"/>
    <w:rsid w:val="008C77FA"/>
    <w:rsid w:val="008D1AE5"/>
    <w:rsid w:val="008D2447"/>
    <w:rsid w:val="008D30B8"/>
    <w:rsid w:val="008D4191"/>
    <w:rsid w:val="008D5BA6"/>
    <w:rsid w:val="008D6744"/>
    <w:rsid w:val="008D7E87"/>
    <w:rsid w:val="008E0932"/>
    <w:rsid w:val="008E0EC2"/>
    <w:rsid w:val="008E18BF"/>
    <w:rsid w:val="008E2713"/>
    <w:rsid w:val="008E32B7"/>
    <w:rsid w:val="008E4582"/>
    <w:rsid w:val="008E5942"/>
    <w:rsid w:val="008E76D7"/>
    <w:rsid w:val="008E7733"/>
    <w:rsid w:val="008E7F44"/>
    <w:rsid w:val="008F0074"/>
    <w:rsid w:val="008F0AD2"/>
    <w:rsid w:val="008F0D90"/>
    <w:rsid w:val="008F2737"/>
    <w:rsid w:val="008F326A"/>
    <w:rsid w:val="008F37BA"/>
    <w:rsid w:val="008F3935"/>
    <w:rsid w:val="008F6068"/>
    <w:rsid w:val="008F737C"/>
    <w:rsid w:val="008F7F81"/>
    <w:rsid w:val="00900E06"/>
    <w:rsid w:val="009025C7"/>
    <w:rsid w:val="0090350C"/>
    <w:rsid w:val="00903BD2"/>
    <w:rsid w:val="00906C23"/>
    <w:rsid w:val="009076A8"/>
    <w:rsid w:val="00910258"/>
    <w:rsid w:val="009110B6"/>
    <w:rsid w:val="0091125B"/>
    <w:rsid w:val="00911594"/>
    <w:rsid w:val="00911C26"/>
    <w:rsid w:val="00913249"/>
    <w:rsid w:val="00913C67"/>
    <w:rsid w:val="009145C2"/>
    <w:rsid w:val="00915045"/>
    <w:rsid w:val="00915D84"/>
    <w:rsid w:val="00916F44"/>
    <w:rsid w:val="00917282"/>
    <w:rsid w:val="00917C0B"/>
    <w:rsid w:val="00917D03"/>
    <w:rsid w:val="00917E41"/>
    <w:rsid w:val="00921900"/>
    <w:rsid w:val="00922256"/>
    <w:rsid w:val="009224F9"/>
    <w:rsid w:val="00923335"/>
    <w:rsid w:val="009255FB"/>
    <w:rsid w:val="00925993"/>
    <w:rsid w:val="00925FCD"/>
    <w:rsid w:val="00926E81"/>
    <w:rsid w:val="00927120"/>
    <w:rsid w:val="00927E9E"/>
    <w:rsid w:val="00930C3C"/>
    <w:rsid w:val="00931D03"/>
    <w:rsid w:val="00932217"/>
    <w:rsid w:val="00933BDA"/>
    <w:rsid w:val="00933E76"/>
    <w:rsid w:val="00933FEE"/>
    <w:rsid w:val="00934AEF"/>
    <w:rsid w:val="00940EE1"/>
    <w:rsid w:val="00941B9C"/>
    <w:rsid w:val="00942A5E"/>
    <w:rsid w:val="0094375A"/>
    <w:rsid w:val="0094455A"/>
    <w:rsid w:val="00944AEA"/>
    <w:rsid w:val="00944CC8"/>
    <w:rsid w:val="009464AF"/>
    <w:rsid w:val="009464FB"/>
    <w:rsid w:val="00946847"/>
    <w:rsid w:val="00946937"/>
    <w:rsid w:val="00950984"/>
    <w:rsid w:val="00950F2B"/>
    <w:rsid w:val="00951961"/>
    <w:rsid w:val="00952924"/>
    <w:rsid w:val="00953436"/>
    <w:rsid w:val="0095345A"/>
    <w:rsid w:val="009534CE"/>
    <w:rsid w:val="009536E5"/>
    <w:rsid w:val="009541C9"/>
    <w:rsid w:val="009552CA"/>
    <w:rsid w:val="00955A0B"/>
    <w:rsid w:val="009569A3"/>
    <w:rsid w:val="00956AB8"/>
    <w:rsid w:val="0095734D"/>
    <w:rsid w:val="00960ACD"/>
    <w:rsid w:val="00961748"/>
    <w:rsid w:val="00961A8D"/>
    <w:rsid w:val="00961D41"/>
    <w:rsid w:val="00962A80"/>
    <w:rsid w:val="00964C1E"/>
    <w:rsid w:val="009662E3"/>
    <w:rsid w:val="00967AC4"/>
    <w:rsid w:val="0097059D"/>
    <w:rsid w:val="00970884"/>
    <w:rsid w:val="009710F6"/>
    <w:rsid w:val="0097122B"/>
    <w:rsid w:val="00971B59"/>
    <w:rsid w:val="00972AAF"/>
    <w:rsid w:val="009752FA"/>
    <w:rsid w:val="00977441"/>
    <w:rsid w:val="00980C5A"/>
    <w:rsid w:val="00983E33"/>
    <w:rsid w:val="0098435D"/>
    <w:rsid w:val="00987EF5"/>
    <w:rsid w:val="00992EF7"/>
    <w:rsid w:val="00994486"/>
    <w:rsid w:val="009954DB"/>
    <w:rsid w:val="00996D21"/>
    <w:rsid w:val="00997A90"/>
    <w:rsid w:val="009A2145"/>
    <w:rsid w:val="009A2DD7"/>
    <w:rsid w:val="009A310A"/>
    <w:rsid w:val="009A5665"/>
    <w:rsid w:val="009A6375"/>
    <w:rsid w:val="009A63C2"/>
    <w:rsid w:val="009A69D0"/>
    <w:rsid w:val="009A7BDC"/>
    <w:rsid w:val="009A7BF3"/>
    <w:rsid w:val="009A7E05"/>
    <w:rsid w:val="009B1209"/>
    <w:rsid w:val="009B240B"/>
    <w:rsid w:val="009B2ECD"/>
    <w:rsid w:val="009B4AFE"/>
    <w:rsid w:val="009B4BFF"/>
    <w:rsid w:val="009B7639"/>
    <w:rsid w:val="009B7B2C"/>
    <w:rsid w:val="009C007C"/>
    <w:rsid w:val="009C02A7"/>
    <w:rsid w:val="009C15F0"/>
    <w:rsid w:val="009C2A20"/>
    <w:rsid w:val="009C58EB"/>
    <w:rsid w:val="009C5B9A"/>
    <w:rsid w:val="009C69CE"/>
    <w:rsid w:val="009D02E5"/>
    <w:rsid w:val="009D1F5F"/>
    <w:rsid w:val="009D2254"/>
    <w:rsid w:val="009D696E"/>
    <w:rsid w:val="009D70EB"/>
    <w:rsid w:val="009D740D"/>
    <w:rsid w:val="009E054C"/>
    <w:rsid w:val="009E179C"/>
    <w:rsid w:val="009E4408"/>
    <w:rsid w:val="009E455A"/>
    <w:rsid w:val="009E5368"/>
    <w:rsid w:val="009E67B6"/>
    <w:rsid w:val="009E6D6E"/>
    <w:rsid w:val="009F00E5"/>
    <w:rsid w:val="009F06D9"/>
    <w:rsid w:val="009F0ECA"/>
    <w:rsid w:val="009F1434"/>
    <w:rsid w:val="009F1ED1"/>
    <w:rsid w:val="009F223E"/>
    <w:rsid w:val="009F2831"/>
    <w:rsid w:val="009F2D1F"/>
    <w:rsid w:val="009F3326"/>
    <w:rsid w:val="009F3408"/>
    <w:rsid w:val="009F4CE7"/>
    <w:rsid w:val="009F5752"/>
    <w:rsid w:val="009F798F"/>
    <w:rsid w:val="00A0005F"/>
    <w:rsid w:val="00A01371"/>
    <w:rsid w:val="00A038BF"/>
    <w:rsid w:val="00A04FD2"/>
    <w:rsid w:val="00A07A85"/>
    <w:rsid w:val="00A07AB3"/>
    <w:rsid w:val="00A10252"/>
    <w:rsid w:val="00A12703"/>
    <w:rsid w:val="00A12DF0"/>
    <w:rsid w:val="00A12E6E"/>
    <w:rsid w:val="00A135A7"/>
    <w:rsid w:val="00A135F9"/>
    <w:rsid w:val="00A138D5"/>
    <w:rsid w:val="00A171A4"/>
    <w:rsid w:val="00A212F1"/>
    <w:rsid w:val="00A21F6C"/>
    <w:rsid w:val="00A22078"/>
    <w:rsid w:val="00A23EEE"/>
    <w:rsid w:val="00A2624D"/>
    <w:rsid w:val="00A2656F"/>
    <w:rsid w:val="00A279CD"/>
    <w:rsid w:val="00A30163"/>
    <w:rsid w:val="00A31262"/>
    <w:rsid w:val="00A32D53"/>
    <w:rsid w:val="00A33A0A"/>
    <w:rsid w:val="00A342A0"/>
    <w:rsid w:val="00A35F60"/>
    <w:rsid w:val="00A364C0"/>
    <w:rsid w:val="00A36B02"/>
    <w:rsid w:val="00A37A1F"/>
    <w:rsid w:val="00A37EAB"/>
    <w:rsid w:val="00A37FD9"/>
    <w:rsid w:val="00A43D8D"/>
    <w:rsid w:val="00A43F97"/>
    <w:rsid w:val="00A456BD"/>
    <w:rsid w:val="00A51232"/>
    <w:rsid w:val="00A52510"/>
    <w:rsid w:val="00A5255E"/>
    <w:rsid w:val="00A5262D"/>
    <w:rsid w:val="00A5389D"/>
    <w:rsid w:val="00A543A0"/>
    <w:rsid w:val="00A5629E"/>
    <w:rsid w:val="00A56AB6"/>
    <w:rsid w:val="00A611D2"/>
    <w:rsid w:val="00A6312F"/>
    <w:rsid w:val="00A640DC"/>
    <w:rsid w:val="00A65DFD"/>
    <w:rsid w:val="00A66906"/>
    <w:rsid w:val="00A675FD"/>
    <w:rsid w:val="00A67A0E"/>
    <w:rsid w:val="00A70F38"/>
    <w:rsid w:val="00A71976"/>
    <w:rsid w:val="00A73916"/>
    <w:rsid w:val="00A73FCA"/>
    <w:rsid w:val="00A746EA"/>
    <w:rsid w:val="00A74F39"/>
    <w:rsid w:val="00A760EB"/>
    <w:rsid w:val="00A76BEB"/>
    <w:rsid w:val="00A77932"/>
    <w:rsid w:val="00A80154"/>
    <w:rsid w:val="00A8187E"/>
    <w:rsid w:val="00A821DD"/>
    <w:rsid w:val="00A84358"/>
    <w:rsid w:val="00A84D80"/>
    <w:rsid w:val="00A86332"/>
    <w:rsid w:val="00A8688C"/>
    <w:rsid w:val="00A879B0"/>
    <w:rsid w:val="00A916A1"/>
    <w:rsid w:val="00A9379B"/>
    <w:rsid w:val="00A95F08"/>
    <w:rsid w:val="00A96576"/>
    <w:rsid w:val="00A975C8"/>
    <w:rsid w:val="00A976E1"/>
    <w:rsid w:val="00A97FB5"/>
    <w:rsid w:val="00AA0B42"/>
    <w:rsid w:val="00AA156C"/>
    <w:rsid w:val="00AA3069"/>
    <w:rsid w:val="00AA311E"/>
    <w:rsid w:val="00AA418D"/>
    <w:rsid w:val="00AA43BA"/>
    <w:rsid w:val="00AA46B2"/>
    <w:rsid w:val="00AA64D9"/>
    <w:rsid w:val="00AA6725"/>
    <w:rsid w:val="00AA73DB"/>
    <w:rsid w:val="00AA759D"/>
    <w:rsid w:val="00AB06C2"/>
    <w:rsid w:val="00AB0B36"/>
    <w:rsid w:val="00AB39CB"/>
    <w:rsid w:val="00AB500D"/>
    <w:rsid w:val="00AB52F8"/>
    <w:rsid w:val="00AB537A"/>
    <w:rsid w:val="00AB5CA1"/>
    <w:rsid w:val="00AB7BB9"/>
    <w:rsid w:val="00AC019B"/>
    <w:rsid w:val="00AC0AFC"/>
    <w:rsid w:val="00AC1D7D"/>
    <w:rsid w:val="00AC3046"/>
    <w:rsid w:val="00AC460B"/>
    <w:rsid w:val="00AC47AC"/>
    <w:rsid w:val="00AC49CC"/>
    <w:rsid w:val="00AC4B62"/>
    <w:rsid w:val="00AC6BBC"/>
    <w:rsid w:val="00AD0266"/>
    <w:rsid w:val="00AD0AF8"/>
    <w:rsid w:val="00AD132D"/>
    <w:rsid w:val="00AD21C2"/>
    <w:rsid w:val="00AD2E6E"/>
    <w:rsid w:val="00AD30EA"/>
    <w:rsid w:val="00AD3592"/>
    <w:rsid w:val="00AD3EEC"/>
    <w:rsid w:val="00AD4CF6"/>
    <w:rsid w:val="00AD73CB"/>
    <w:rsid w:val="00AD75C9"/>
    <w:rsid w:val="00AE0BE0"/>
    <w:rsid w:val="00AE0EEC"/>
    <w:rsid w:val="00AE22BF"/>
    <w:rsid w:val="00AE2BD1"/>
    <w:rsid w:val="00AE4820"/>
    <w:rsid w:val="00AE79BB"/>
    <w:rsid w:val="00AF2D38"/>
    <w:rsid w:val="00AF30C5"/>
    <w:rsid w:val="00AF3F35"/>
    <w:rsid w:val="00AF4803"/>
    <w:rsid w:val="00AF58F8"/>
    <w:rsid w:val="00AF6677"/>
    <w:rsid w:val="00AF685D"/>
    <w:rsid w:val="00AF6BA2"/>
    <w:rsid w:val="00B02EE2"/>
    <w:rsid w:val="00B03762"/>
    <w:rsid w:val="00B03CC2"/>
    <w:rsid w:val="00B04153"/>
    <w:rsid w:val="00B04411"/>
    <w:rsid w:val="00B0586C"/>
    <w:rsid w:val="00B062CE"/>
    <w:rsid w:val="00B078FA"/>
    <w:rsid w:val="00B07BBC"/>
    <w:rsid w:val="00B12440"/>
    <w:rsid w:val="00B12FF4"/>
    <w:rsid w:val="00B1614A"/>
    <w:rsid w:val="00B16734"/>
    <w:rsid w:val="00B17466"/>
    <w:rsid w:val="00B205BF"/>
    <w:rsid w:val="00B21641"/>
    <w:rsid w:val="00B21C23"/>
    <w:rsid w:val="00B22526"/>
    <w:rsid w:val="00B22C5A"/>
    <w:rsid w:val="00B24ED2"/>
    <w:rsid w:val="00B25082"/>
    <w:rsid w:val="00B25827"/>
    <w:rsid w:val="00B26389"/>
    <w:rsid w:val="00B26C75"/>
    <w:rsid w:val="00B27222"/>
    <w:rsid w:val="00B27B54"/>
    <w:rsid w:val="00B31178"/>
    <w:rsid w:val="00B337E9"/>
    <w:rsid w:val="00B34DC6"/>
    <w:rsid w:val="00B34DF4"/>
    <w:rsid w:val="00B351DA"/>
    <w:rsid w:val="00B372E4"/>
    <w:rsid w:val="00B37FCB"/>
    <w:rsid w:val="00B40F8C"/>
    <w:rsid w:val="00B4114F"/>
    <w:rsid w:val="00B4273A"/>
    <w:rsid w:val="00B42F9A"/>
    <w:rsid w:val="00B4489A"/>
    <w:rsid w:val="00B47370"/>
    <w:rsid w:val="00B5016C"/>
    <w:rsid w:val="00B50FE2"/>
    <w:rsid w:val="00B5200F"/>
    <w:rsid w:val="00B52A1B"/>
    <w:rsid w:val="00B609D1"/>
    <w:rsid w:val="00B61050"/>
    <w:rsid w:val="00B62F3D"/>
    <w:rsid w:val="00B64F1B"/>
    <w:rsid w:val="00B6551F"/>
    <w:rsid w:val="00B65A4E"/>
    <w:rsid w:val="00B65F2E"/>
    <w:rsid w:val="00B6658A"/>
    <w:rsid w:val="00B70C19"/>
    <w:rsid w:val="00B73B35"/>
    <w:rsid w:val="00B747AE"/>
    <w:rsid w:val="00B76700"/>
    <w:rsid w:val="00B77130"/>
    <w:rsid w:val="00B77339"/>
    <w:rsid w:val="00B7778A"/>
    <w:rsid w:val="00B80218"/>
    <w:rsid w:val="00B82477"/>
    <w:rsid w:val="00B83305"/>
    <w:rsid w:val="00B83662"/>
    <w:rsid w:val="00B84FE9"/>
    <w:rsid w:val="00B87D8D"/>
    <w:rsid w:val="00B90617"/>
    <w:rsid w:val="00B9082A"/>
    <w:rsid w:val="00B91166"/>
    <w:rsid w:val="00B91716"/>
    <w:rsid w:val="00B91850"/>
    <w:rsid w:val="00B91C7A"/>
    <w:rsid w:val="00B91D42"/>
    <w:rsid w:val="00B92786"/>
    <w:rsid w:val="00B92FE6"/>
    <w:rsid w:val="00B932B3"/>
    <w:rsid w:val="00B93730"/>
    <w:rsid w:val="00B93822"/>
    <w:rsid w:val="00B9478A"/>
    <w:rsid w:val="00B94E2A"/>
    <w:rsid w:val="00B94F40"/>
    <w:rsid w:val="00B956F5"/>
    <w:rsid w:val="00B9762C"/>
    <w:rsid w:val="00BA0E5F"/>
    <w:rsid w:val="00BA16A6"/>
    <w:rsid w:val="00BA1C2F"/>
    <w:rsid w:val="00BA1EF0"/>
    <w:rsid w:val="00BA27BA"/>
    <w:rsid w:val="00BA3BE1"/>
    <w:rsid w:val="00BA4420"/>
    <w:rsid w:val="00BA4A98"/>
    <w:rsid w:val="00BA5558"/>
    <w:rsid w:val="00BA67B0"/>
    <w:rsid w:val="00BA6A21"/>
    <w:rsid w:val="00BB079B"/>
    <w:rsid w:val="00BB11BC"/>
    <w:rsid w:val="00BB241A"/>
    <w:rsid w:val="00BB2ECC"/>
    <w:rsid w:val="00BB3C90"/>
    <w:rsid w:val="00BB566A"/>
    <w:rsid w:val="00BC0321"/>
    <w:rsid w:val="00BC0F10"/>
    <w:rsid w:val="00BC1087"/>
    <w:rsid w:val="00BC1E05"/>
    <w:rsid w:val="00BC1FB0"/>
    <w:rsid w:val="00BC2B00"/>
    <w:rsid w:val="00BC309E"/>
    <w:rsid w:val="00BC4137"/>
    <w:rsid w:val="00BC5106"/>
    <w:rsid w:val="00BC53A7"/>
    <w:rsid w:val="00BC5952"/>
    <w:rsid w:val="00BC604D"/>
    <w:rsid w:val="00BC71CC"/>
    <w:rsid w:val="00BC7795"/>
    <w:rsid w:val="00BD080A"/>
    <w:rsid w:val="00BD1524"/>
    <w:rsid w:val="00BD18C2"/>
    <w:rsid w:val="00BD2797"/>
    <w:rsid w:val="00BD2AF4"/>
    <w:rsid w:val="00BD3E7F"/>
    <w:rsid w:val="00BD610A"/>
    <w:rsid w:val="00BD6A21"/>
    <w:rsid w:val="00BD761D"/>
    <w:rsid w:val="00BD7984"/>
    <w:rsid w:val="00BD7A10"/>
    <w:rsid w:val="00BD7E3C"/>
    <w:rsid w:val="00BE0060"/>
    <w:rsid w:val="00BE10D3"/>
    <w:rsid w:val="00BE1384"/>
    <w:rsid w:val="00BE343E"/>
    <w:rsid w:val="00BE4C82"/>
    <w:rsid w:val="00BE6127"/>
    <w:rsid w:val="00BE675F"/>
    <w:rsid w:val="00BE75BF"/>
    <w:rsid w:val="00BF0354"/>
    <w:rsid w:val="00BF04D1"/>
    <w:rsid w:val="00BF087D"/>
    <w:rsid w:val="00BF1039"/>
    <w:rsid w:val="00BF1DD9"/>
    <w:rsid w:val="00BF3D27"/>
    <w:rsid w:val="00BF3EF5"/>
    <w:rsid w:val="00BF47E3"/>
    <w:rsid w:val="00BF52AC"/>
    <w:rsid w:val="00BF6D6F"/>
    <w:rsid w:val="00BF7CD5"/>
    <w:rsid w:val="00C00935"/>
    <w:rsid w:val="00C0239F"/>
    <w:rsid w:val="00C033BC"/>
    <w:rsid w:val="00C0454C"/>
    <w:rsid w:val="00C060BF"/>
    <w:rsid w:val="00C06CE0"/>
    <w:rsid w:val="00C070D6"/>
    <w:rsid w:val="00C10E8A"/>
    <w:rsid w:val="00C119A9"/>
    <w:rsid w:val="00C12A1B"/>
    <w:rsid w:val="00C14AC9"/>
    <w:rsid w:val="00C14BDD"/>
    <w:rsid w:val="00C15B07"/>
    <w:rsid w:val="00C15D82"/>
    <w:rsid w:val="00C16497"/>
    <w:rsid w:val="00C172D0"/>
    <w:rsid w:val="00C17F20"/>
    <w:rsid w:val="00C202DB"/>
    <w:rsid w:val="00C20C92"/>
    <w:rsid w:val="00C20D6D"/>
    <w:rsid w:val="00C20EE8"/>
    <w:rsid w:val="00C222C4"/>
    <w:rsid w:val="00C24228"/>
    <w:rsid w:val="00C24CBA"/>
    <w:rsid w:val="00C2579C"/>
    <w:rsid w:val="00C25960"/>
    <w:rsid w:val="00C25A51"/>
    <w:rsid w:val="00C2603C"/>
    <w:rsid w:val="00C271FB"/>
    <w:rsid w:val="00C27309"/>
    <w:rsid w:val="00C3014D"/>
    <w:rsid w:val="00C31221"/>
    <w:rsid w:val="00C31BCE"/>
    <w:rsid w:val="00C32D05"/>
    <w:rsid w:val="00C3399F"/>
    <w:rsid w:val="00C347D1"/>
    <w:rsid w:val="00C349E1"/>
    <w:rsid w:val="00C34C4D"/>
    <w:rsid w:val="00C35B50"/>
    <w:rsid w:val="00C36BF7"/>
    <w:rsid w:val="00C402C1"/>
    <w:rsid w:val="00C40475"/>
    <w:rsid w:val="00C404DF"/>
    <w:rsid w:val="00C4083C"/>
    <w:rsid w:val="00C409E6"/>
    <w:rsid w:val="00C41A7E"/>
    <w:rsid w:val="00C4251E"/>
    <w:rsid w:val="00C436A3"/>
    <w:rsid w:val="00C4426E"/>
    <w:rsid w:val="00C44503"/>
    <w:rsid w:val="00C44798"/>
    <w:rsid w:val="00C44D30"/>
    <w:rsid w:val="00C453EF"/>
    <w:rsid w:val="00C52131"/>
    <w:rsid w:val="00C53A29"/>
    <w:rsid w:val="00C53D2F"/>
    <w:rsid w:val="00C56BCF"/>
    <w:rsid w:val="00C57A27"/>
    <w:rsid w:val="00C60B45"/>
    <w:rsid w:val="00C60F3D"/>
    <w:rsid w:val="00C629F0"/>
    <w:rsid w:val="00C663EB"/>
    <w:rsid w:val="00C66AC8"/>
    <w:rsid w:val="00C67704"/>
    <w:rsid w:val="00C679B4"/>
    <w:rsid w:val="00C70AB0"/>
    <w:rsid w:val="00C70C39"/>
    <w:rsid w:val="00C713CE"/>
    <w:rsid w:val="00C71F1C"/>
    <w:rsid w:val="00C727B3"/>
    <w:rsid w:val="00C73BE1"/>
    <w:rsid w:val="00C741AA"/>
    <w:rsid w:val="00C7494A"/>
    <w:rsid w:val="00C75008"/>
    <w:rsid w:val="00C767BF"/>
    <w:rsid w:val="00C77270"/>
    <w:rsid w:val="00C8243B"/>
    <w:rsid w:val="00C82CCE"/>
    <w:rsid w:val="00C83407"/>
    <w:rsid w:val="00C83773"/>
    <w:rsid w:val="00C842F3"/>
    <w:rsid w:val="00C85223"/>
    <w:rsid w:val="00C85645"/>
    <w:rsid w:val="00C85F53"/>
    <w:rsid w:val="00C85FD2"/>
    <w:rsid w:val="00C864E4"/>
    <w:rsid w:val="00C86C97"/>
    <w:rsid w:val="00C87187"/>
    <w:rsid w:val="00C87D58"/>
    <w:rsid w:val="00C90094"/>
    <w:rsid w:val="00C90291"/>
    <w:rsid w:val="00C920E2"/>
    <w:rsid w:val="00C92EF0"/>
    <w:rsid w:val="00C94BF1"/>
    <w:rsid w:val="00C95158"/>
    <w:rsid w:val="00C95162"/>
    <w:rsid w:val="00C955E1"/>
    <w:rsid w:val="00C96E5F"/>
    <w:rsid w:val="00C977A4"/>
    <w:rsid w:val="00C979B3"/>
    <w:rsid w:val="00CA1868"/>
    <w:rsid w:val="00CA20A7"/>
    <w:rsid w:val="00CA20C9"/>
    <w:rsid w:val="00CA26FA"/>
    <w:rsid w:val="00CA3B74"/>
    <w:rsid w:val="00CA3CB6"/>
    <w:rsid w:val="00CA43A0"/>
    <w:rsid w:val="00CA4FC6"/>
    <w:rsid w:val="00CA64E6"/>
    <w:rsid w:val="00CB2893"/>
    <w:rsid w:val="00CB3433"/>
    <w:rsid w:val="00CB411C"/>
    <w:rsid w:val="00CB644A"/>
    <w:rsid w:val="00CB6CF3"/>
    <w:rsid w:val="00CB7965"/>
    <w:rsid w:val="00CC0312"/>
    <w:rsid w:val="00CC0CBC"/>
    <w:rsid w:val="00CC152D"/>
    <w:rsid w:val="00CC17B7"/>
    <w:rsid w:val="00CC1EAF"/>
    <w:rsid w:val="00CC2C93"/>
    <w:rsid w:val="00CC5432"/>
    <w:rsid w:val="00CC545D"/>
    <w:rsid w:val="00CC55B1"/>
    <w:rsid w:val="00CC5B8E"/>
    <w:rsid w:val="00CC638E"/>
    <w:rsid w:val="00CC65F3"/>
    <w:rsid w:val="00CC6B65"/>
    <w:rsid w:val="00CC78C5"/>
    <w:rsid w:val="00CC7C66"/>
    <w:rsid w:val="00CD0B41"/>
    <w:rsid w:val="00CD0C78"/>
    <w:rsid w:val="00CD24DB"/>
    <w:rsid w:val="00CD29A3"/>
    <w:rsid w:val="00CD4BDB"/>
    <w:rsid w:val="00CD4FBD"/>
    <w:rsid w:val="00CD561E"/>
    <w:rsid w:val="00CD6AA4"/>
    <w:rsid w:val="00CD7633"/>
    <w:rsid w:val="00CE10B0"/>
    <w:rsid w:val="00CE4F32"/>
    <w:rsid w:val="00CE53E5"/>
    <w:rsid w:val="00CE5852"/>
    <w:rsid w:val="00CE76FC"/>
    <w:rsid w:val="00CE79CC"/>
    <w:rsid w:val="00CF0293"/>
    <w:rsid w:val="00CF0E33"/>
    <w:rsid w:val="00CF0EAF"/>
    <w:rsid w:val="00CF22D0"/>
    <w:rsid w:val="00CF341E"/>
    <w:rsid w:val="00CF58EE"/>
    <w:rsid w:val="00CF74A6"/>
    <w:rsid w:val="00CF797E"/>
    <w:rsid w:val="00CF7B92"/>
    <w:rsid w:val="00D00314"/>
    <w:rsid w:val="00D0039F"/>
    <w:rsid w:val="00D0477F"/>
    <w:rsid w:val="00D04A0F"/>
    <w:rsid w:val="00D04A54"/>
    <w:rsid w:val="00D0597C"/>
    <w:rsid w:val="00D05AA2"/>
    <w:rsid w:val="00D0611E"/>
    <w:rsid w:val="00D06143"/>
    <w:rsid w:val="00D07CC1"/>
    <w:rsid w:val="00D07D6F"/>
    <w:rsid w:val="00D102AF"/>
    <w:rsid w:val="00D118FA"/>
    <w:rsid w:val="00D11E0D"/>
    <w:rsid w:val="00D133FC"/>
    <w:rsid w:val="00D14D5C"/>
    <w:rsid w:val="00D154D0"/>
    <w:rsid w:val="00D159B2"/>
    <w:rsid w:val="00D15CBA"/>
    <w:rsid w:val="00D16B84"/>
    <w:rsid w:val="00D17E6C"/>
    <w:rsid w:val="00D213F3"/>
    <w:rsid w:val="00D2417A"/>
    <w:rsid w:val="00D2551C"/>
    <w:rsid w:val="00D2650B"/>
    <w:rsid w:val="00D271D7"/>
    <w:rsid w:val="00D327A7"/>
    <w:rsid w:val="00D32F33"/>
    <w:rsid w:val="00D34BCE"/>
    <w:rsid w:val="00D376DF"/>
    <w:rsid w:val="00D402CE"/>
    <w:rsid w:val="00D42880"/>
    <w:rsid w:val="00D4323D"/>
    <w:rsid w:val="00D433E9"/>
    <w:rsid w:val="00D43899"/>
    <w:rsid w:val="00D443DB"/>
    <w:rsid w:val="00D455C4"/>
    <w:rsid w:val="00D45D26"/>
    <w:rsid w:val="00D47093"/>
    <w:rsid w:val="00D47F2D"/>
    <w:rsid w:val="00D50B3F"/>
    <w:rsid w:val="00D51E74"/>
    <w:rsid w:val="00D526B8"/>
    <w:rsid w:val="00D52935"/>
    <w:rsid w:val="00D53BB6"/>
    <w:rsid w:val="00D559D3"/>
    <w:rsid w:val="00D56C77"/>
    <w:rsid w:val="00D57B05"/>
    <w:rsid w:val="00D6040C"/>
    <w:rsid w:val="00D633EC"/>
    <w:rsid w:val="00D64255"/>
    <w:rsid w:val="00D65007"/>
    <w:rsid w:val="00D65801"/>
    <w:rsid w:val="00D65BE2"/>
    <w:rsid w:val="00D66167"/>
    <w:rsid w:val="00D66672"/>
    <w:rsid w:val="00D66F6D"/>
    <w:rsid w:val="00D66FD7"/>
    <w:rsid w:val="00D67772"/>
    <w:rsid w:val="00D70523"/>
    <w:rsid w:val="00D71251"/>
    <w:rsid w:val="00D71957"/>
    <w:rsid w:val="00D71CE9"/>
    <w:rsid w:val="00D72042"/>
    <w:rsid w:val="00D7278F"/>
    <w:rsid w:val="00D72DFB"/>
    <w:rsid w:val="00D730E8"/>
    <w:rsid w:val="00D73457"/>
    <w:rsid w:val="00D73481"/>
    <w:rsid w:val="00D74DED"/>
    <w:rsid w:val="00D75888"/>
    <w:rsid w:val="00D7660B"/>
    <w:rsid w:val="00D77412"/>
    <w:rsid w:val="00D77E45"/>
    <w:rsid w:val="00D80748"/>
    <w:rsid w:val="00D81BEE"/>
    <w:rsid w:val="00D81E4E"/>
    <w:rsid w:val="00D81F1B"/>
    <w:rsid w:val="00D82E41"/>
    <w:rsid w:val="00D831AD"/>
    <w:rsid w:val="00D86082"/>
    <w:rsid w:val="00D866F5"/>
    <w:rsid w:val="00D87BB4"/>
    <w:rsid w:val="00D87D46"/>
    <w:rsid w:val="00D90986"/>
    <w:rsid w:val="00D91B12"/>
    <w:rsid w:val="00D93A40"/>
    <w:rsid w:val="00D94378"/>
    <w:rsid w:val="00D94CAB"/>
    <w:rsid w:val="00D962C6"/>
    <w:rsid w:val="00D96681"/>
    <w:rsid w:val="00D96F0D"/>
    <w:rsid w:val="00D97629"/>
    <w:rsid w:val="00D97FFE"/>
    <w:rsid w:val="00DA5609"/>
    <w:rsid w:val="00DA5996"/>
    <w:rsid w:val="00DA6B90"/>
    <w:rsid w:val="00DA795B"/>
    <w:rsid w:val="00DA7D94"/>
    <w:rsid w:val="00DB0BDB"/>
    <w:rsid w:val="00DB1C38"/>
    <w:rsid w:val="00DB203B"/>
    <w:rsid w:val="00DB28D4"/>
    <w:rsid w:val="00DB305B"/>
    <w:rsid w:val="00DB51E5"/>
    <w:rsid w:val="00DB56A2"/>
    <w:rsid w:val="00DB5E72"/>
    <w:rsid w:val="00DB7B64"/>
    <w:rsid w:val="00DB7C82"/>
    <w:rsid w:val="00DC07A1"/>
    <w:rsid w:val="00DC0E51"/>
    <w:rsid w:val="00DC1505"/>
    <w:rsid w:val="00DC208F"/>
    <w:rsid w:val="00DC2E2F"/>
    <w:rsid w:val="00DC45C8"/>
    <w:rsid w:val="00DC4CA4"/>
    <w:rsid w:val="00DC5682"/>
    <w:rsid w:val="00DC721B"/>
    <w:rsid w:val="00DC7D49"/>
    <w:rsid w:val="00DC7DE8"/>
    <w:rsid w:val="00DD0CA6"/>
    <w:rsid w:val="00DD2BAE"/>
    <w:rsid w:val="00DD3371"/>
    <w:rsid w:val="00DD7006"/>
    <w:rsid w:val="00DD7C2F"/>
    <w:rsid w:val="00DE0D07"/>
    <w:rsid w:val="00DE162A"/>
    <w:rsid w:val="00DE30C5"/>
    <w:rsid w:val="00DE3719"/>
    <w:rsid w:val="00DE391B"/>
    <w:rsid w:val="00DE61FC"/>
    <w:rsid w:val="00DE64DF"/>
    <w:rsid w:val="00DE6573"/>
    <w:rsid w:val="00DE7719"/>
    <w:rsid w:val="00DF050E"/>
    <w:rsid w:val="00DF170A"/>
    <w:rsid w:val="00DF1E38"/>
    <w:rsid w:val="00DF23B9"/>
    <w:rsid w:val="00DF3BB7"/>
    <w:rsid w:val="00DF3FF9"/>
    <w:rsid w:val="00DF452E"/>
    <w:rsid w:val="00DF5026"/>
    <w:rsid w:val="00DF737E"/>
    <w:rsid w:val="00DF7633"/>
    <w:rsid w:val="00E00D50"/>
    <w:rsid w:val="00E00F6D"/>
    <w:rsid w:val="00E00FC4"/>
    <w:rsid w:val="00E01646"/>
    <w:rsid w:val="00E03282"/>
    <w:rsid w:val="00E04650"/>
    <w:rsid w:val="00E05CAA"/>
    <w:rsid w:val="00E06036"/>
    <w:rsid w:val="00E0628C"/>
    <w:rsid w:val="00E107E7"/>
    <w:rsid w:val="00E126CA"/>
    <w:rsid w:val="00E13FB5"/>
    <w:rsid w:val="00E154A4"/>
    <w:rsid w:val="00E17137"/>
    <w:rsid w:val="00E17960"/>
    <w:rsid w:val="00E179E3"/>
    <w:rsid w:val="00E20183"/>
    <w:rsid w:val="00E209DA"/>
    <w:rsid w:val="00E22197"/>
    <w:rsid w:val="00E222C3"/>
    <w:rsid w:val="00E24E7B"/>
    <w:rsid w:val="00E26394"/>
    <w:rsid w:val="00E306A1"/>
    <w:rsid w:val="00E30C0F"/>
    <w:rsid w:val="00E31ED9"/>
    <w:rsid w:val="00E32B16"/>
    <w:rsid w:val="00E330A2"/>
    <w:rsid w:val="00E35177"/>
    <w:rsid w:val="00E354DC"/>
    <w:rsid w:val="00E35DD1"/>
    <w:rsid w:val="00E3630D"/>
    <w:rsid w:val="00E3733A"/>
    <w:rsid w:val="00E37690"/>
    <w:rsid w:val="00E377CB"/>
    <w:rsid w:val="00E37D2C"/>
    <w:rsid w:val="00E4166B"/>
    <w:rsid w:val="00E421A6"/>
    <w:rsid w:val="00E448D2"/>
    <w:rsid w:val="00E458C8"/>
    <w:rsid w:val="00E50270"/>
    <w:rsid w:val="00E51967"/>
    <w:rsid w:val="00E52BD7"/>
    <w:rsid w:val="00E54286"/>
    <w:rsid w:val="00E56661"/>
    <w:rsid w:val="00E61EA8"/>
    <w:rsid w:val="00E633A7"/>
    <w:rsid w:val="00E6498F"/>
    <w:rsid w:val="00E6665E"/>
    <w:rsid w:val="00E66779"/>
    <w:rsid w:val="00E66D74"/>
    <w:rsid w:val="00E66EB9"/>
    <w:rsid w:val="00E673EB"/>
    <w:rsid w:val="00E7240E"/>
    <w:rsid w:val="00E72416"/>
    <w:rsid w:val="00E72689"/>
    <w:rsid w:val="00E72694"/>
    <w:rsid w:val="00E74343"/>
    <w:rsid w:val="00E74862"/>
    <w:rsid w:val="00E74E2E"/>
    <w:rsid w:val="00E7676C"/>
    <w:rsid w:val="00E76D8D"/>
    <w:rsid w:val="00E80A3D"/>
    <w:rsid w:val="00E8160D"/>
    <w:rsid w:val="00E81802"/>
    <w:rsid w:val="00E81BDE"/>
    <w:rsid w:val="00E81BE5"/>
    <w:rsid w:val="00E82791"/>
    <w:rsid w:val="00E837DB"/>
    <w:rsid w:val="00E8392C"/>
    <w:rsid w:val="00E84044"/>
    <w:rsid w:val="00E84DBF"/>
    <w:rsid w:val="00E85D58"/>
    <w:rsid w:val="00E862FD"/>
    <w:rsid w:val="00E86A41"/>
    <w:rsid w:val="00E87D56"/>
    <w:rsid w:val="00E90195"/>
    <w:rsid w:val="00E91109"/>
    <w:rsid w:val="00E91A25"/>
    <w:rsid w:val="00E95E59"/>
    <w:rsid w:val="00E95EFC"/>
    <w:rsid w:val="00E96AD1"/>
    <w:rsid w:val="00E972AB"/>
    <w:rsid w:val="00E979B3"/>
    <w:rsid w:val="00EA0B9D"/>
    <w:rsid w:val="00EA1E6D"/>
    <w:rsid w:val="00EA3000"/>
    <w:rsid w:val="00EA40E8"/>
    <w:rsid w:val="00EA4889"/>
    <w:rsid w:val="00EA6891"/>
    <w:rsid w:val="00EA73C4"/>
    <w:rsid w:val="00EB05BE"/>
    <w:rsid w:val="00EB150F"/>
    <w:rsid w:val="00EB1948"/>
    <w:rsid w:val="00EB1CAC"/>
    <w:rsid w:val="00EB254F"/>
    <w:rsid w:val="00EB2FCD"/>
    <w:rsid w:val="00EB3A16"/>
    <w:rsid w:val="00EB3E17"/>
    <w:rsid w:val="00EB543C"/>
    <w:rsid w:val="00EB6502"/>
    <w:rsid w:val="00EB66B9"/>
    <w:rsid w:val="00EB7213"/>
    <w:rsid w:val="00EB798E"/>
    <w:rsid w:val="00EB7E94"/>
    <w:rsid w:val="00EC0DD1"/>
    <w:rsid w:val="00EC2751"/>
    <w:rsid w:val="00EC2E6B"/>
    <w:rsid w:val="00EC357F"/>
    <w:rsid w:val="00EC390A"/>
    <w:rsid w:val="00EC41A0"/>
    <w:rsid w:val="00EC4B27"/>
    <w:rsid w:val="00EC4C3B"/>
    <w:rsid w:val="00EC5802"/>
    <w:rsid w:val="00EC61CA"/>
    <w:rsid w:val="00EC6ABB"/>
    <w:rsid w:val="00EC6E2E"/>
    <w:rsid w:val="00EC70BE"/>
    <w:rsid w:val="00EC75EE"/>
    <w:rsid w:val="00ED0AEF"/>
    <w:rsid w:val="00ED1638"/>
    <w:rsid w:val="00ED1B83"/>
    <w:rsid w:val="00ED2FD4"/>
    <w:rsid w:val="00ED39D8"/>
    <w:rsid w:val="00ED3A24"/>
    <w:rsid w:val="00ED491A"/>
    <w:rsid w:val="00ED4983"/>
    <w:rsid w:val="00ED4DFC"/>
    <w:rsid w:val="00ED50E8"/>
    <w:rsid w:val="00ED5D45"/>
    <w:rsid w:val="00ED7C2A"/>
    <w:rsid w:val="00EE4607"/>
    <w:rsid w:val="00EE5082"/>
    <w:rsid w:val="00EE73AE"/>
    <w:rsid w:val="00EE76FE"/>
    <w:rsid w:val="00EE7E03"/>
    <w:rsid w:val="00EE7F7C"/>
    <w:rsid w:val="00EF0631"/>
    <w:rsid w:val="00EF21B2"/>
    <w:rsid w:val="00EF3F28"/>
    <w:rsid w:val="00EF4801"/>
    <w:rsid w:val="00EF53DD"/>
    <w:rsid w:val="00EF5498"/>
    <w:rsid w:val="00EF678C"/>
    <w:rsid w:val="00EF692A"/>
    <w:rsid w:val="00EF79F3"/>
    <w:rsid w:val="00F00265"/>
    <w:rsid w:val="00F006E7"/>
    <w:rsid w:val="00F01434"/>
    <w:rsid w:val="00F04865"/>
    <w:rsid w:val="00F05CC9"/>
    <w:rsid w:val="00F06432"/>
    <w:rsid w:val="00F06ACA"/>
    <w:rsid w:val="00F07AC5"/>
    <w:rsid w:val="00F11AEA"/>
    <w:rsid w:val="00F124F1"/>
    <w:rsid w:val="00F1276B"/>
    <w:rsid w:val="00F1540E"/>
    <w:rsid w:val="00F155CC"/>
    <w:rsid w:val="00F1731E"/>
    <w:rsid w:val="00F173CC"/>
    <w:rsid w:val="00F178B3"/>
    <w:rsid w:val="00F17ECA"/>
    <w:rsid w:val="00F2368F"/>
    <w:rsid w:val="00F24F8B"/>
    <w:rsid w:val="00F2768C"/>
    <w:rsid w:val="00F27AC4"/>
    <w:rsid w:val="00F30082"/>
    <w:rsid w:val="00F32013"/>
    <w:rsid w:val="00F32026"/>
    <w:rsid w:val="00F323F6"/>
    <w:rsid w:val="00F34506"/>
    <w:rsid w:val="00F364CB"/>
    <w:rsid w:val="00F36607"/>
    <w:rsid w:val="00F366B5"/>
    <w:rsid w:val="00F36A20"/>
    <w:rsid w:val="00F37C56"/>
    <w:rsid w:val="00F407F3"/>
    <w:rsid w:val="00F42524"/>
    <w:rsid w:val="00F4383D"/>
    <w:rsid w:val="00F43E92"/>
    <w:rsid w:val="00F44272"/>
    <w:rsid w:val="00F442D7"/>
    <w:rsid w:val="00F44744"/>
    <w:rsid w:val="00F459C0"/>
    <w:rsid w:val="00F46112"/>
    <w:rsid w:val="00F4627E"/>
    <w:rsid w:val="00F4774E"/>
    <w:rsid w:val="00F515B9"/>
    <w:rsid w:val="00F524BE"/>
    <w:rsid w:val="00F52F9E"/>
    <w:rsid w:val="00F538F2"/>
    <w:rsid w:val="00F5511B"/>
    <w:rsid w:val="00F5662B"/>
    <w:rsid w:val="00F56987"/>
    <w:rsid w:val="00F57820"/>
    <w:rsid w:val="00F57E50"/>
    <w:rsid w:val="00F62875"/>
    <w:rsid w:val="00F62D07"/>
    <w:rsid w:val="00F644A3"/>
    <w:rsid w:val="00F66DBC"/>
    <w:rsid w:val="00F67111"/>
    <w:rsid w:val="00F67359"/>
    <w:rsid w:val="00F709BD"/>
    <w:rsid w:val="00F74C75"/>
    <w:rsid w:val="00F767B4"/>
    <w:rsid w:val="00F80E05"/>
    <w:rsid w:val="00F821DA"/>
    <w:rsid w:val="00F824CF"/>
    <w:rsid w:val="00F83332"/>
    <w:rsid w:val="00F8406B"/>
    <w:rsid w:val="00F84102"/>
    <w:rsid w:val="00F85BFF"/>
    <w:rsid w:val="00F87401"/>
    <w:rsid w:val="00F87981"/>
    <w:rsid w:val="00F90116"/>
    <w:rsid w:val="00F90D00"/>
    <w:rsid w:val="00F90E70"/>
    <w:rsid w:val="00F924E4"/>
    <w:rsid w:val="00F933BE"/>
    <w:rsid w:val="00F94A84"/>
    <w:rsid w:val="00F9674F"/>
    <w:rsid w:val="00FA176B"/>
    <w:rsid w:val="00FA187B"/>
    <w:rsid w:val="00FA3F2B"/>
    <w:rsid w:val="00FA50AD"/>
    <w:rsid w:val="00FA53E8"/>
    <w:rsid w:val="00FA6DF3"/>
    <w:rsid w:val="00FA752E"/>
    <w:rsid w:val="00FB0EC7"/>
    <w:rsid w:val="00FB19E3"/>
    <w:rsid w:val="00FB35D3"/>
    <w:rsid w:val="00FB4666"/>
    <w:rsid w:val="00FB46BB"/>
    <w:rsid w:val="00FB4F2D"/>
    <w:rsid w:val="00FB5D46"/>
    <w:rsid w:val="00FC15D5"/>
    <w:rsid w:val="00FC1985"/>
    <w:rsid w:val="00FC1ED2"/>
    <w:rsid w:val="00FC22FE"/>
    <w:rsid w:val="00FC27C6"/>
    <w:rsid w:val="00FC37A0"/>
    <w:rsid w:val="00FC37B1"/>
    <w:rsid w:val="00FC436B"/>
    <w:rsid w:val="00FC5EA7"/>
    <w:rsid w:val="00FC67AA"/>
    <w:rsid w:val="00FC6849"/>
    <w:rsid w:val="00FC7BC3"/>
    <w:rsid w:val="00FC7F16"/>
    <w:rsid w:val="00FD0B70"/>
    <w:rsid w:val="00FD2288"/>
    <w:rsid w:val="00FD30DE"/>
    <w:rsid w:val="00FD33B1"/>
    <w:rsid w:val="00FD4873"/>
    <w:rsid w:val="00FD5009"/>
    <w:rsid w:val="00FD56BB"/>
    <w:rsid w:val="00FD6396"/>
    <w:rsid w:val="00FD71D8"/>
    <w:rsid w:val="00FD751D"/>
    <w:rsid w:val="00FE051B"/>
    <w:rsid w:val="00FE0B8C"/>
    <w:rsid w:val="00FE21B6"/>
    <w:rsid w:val="00FE2464"/>
    <w:rsid w:val="00FE281E"/>
    <w:rsid w:val="00FE3237"/>
    <w:rsid w:val="00FE3C1E"/>
    <w:rsid w:val="00FE4542"/>
    <w:rsid w:val="00FF03D4"/>
    <w:rsid w:val="00FF16A4"/>
    <w:rsid w:val="00FF182A"/>
    <w:rsid w:val="00FF22FE"/>
    <w:rsid w:val="00FF2B88"/>
    <w:rsid w:val="00FF2BF2"/>
    <w:rsid w:val="00FF2CBE"/>
    <w:rsid w:val="00FF3192"/>
    <w:rsid w:val="00FF3337"/>
    <w:rsid w:val="00FF5C21"/>
    <w:rsid w:val="00FF6F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DB99B1"/>
  <w15:chartTrackingRefBased/>
  <w15:docId w15:val="{264379D5-C55C-461E-B126-DCA1C2655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3170"/>
    <w:pPr>
      <w:spacing w:line="360" w:lineRule="auto"/>
    </w:pPr>
    <w:rPr>
      <w:rFonts w:ascii="Calibri" w:hAnsi="Calibri"/>
    </w:rPr>
  </w:style>
  <w:style w:type="paragraph" w:styleId="Heading1">
    <w:name w:val="heading 1"/>
    <w:basedOn w:val="Normal"/>
    <w:next w:val="Normal"/>
    <w:link w:val="Heading1Char"/>
    <w:uiPriority w:val="9"/>
    <w:qFormat/>
    <w:rsid w:val="00B21C23"/>
    <w:pPr>
      <w:keepNext/>
      <w:keepLines/>
      <w:pageBreakBefore/>
      <w:spacing w:before="240" w:after="240"/>
      <w:outlineLvl w:val="0"/>
    </w:pPr>
    <w:rPr>
      <w:rFonts w:asciiTheme="majorHAnsi" w:eastAsiaTheme="majorEastAsia" w:hAnsiTheme="majorHAnsi" w:cstheme="majorBidi"/>
      <w:b/>
      <w:color w:val="000000" w:themeColor="text1"/>
      <w:sz w:val="28"/>
      <w:szCs w:val="32"/>
    </w:rPr>
  </w:style>
  <w:style w:type="paragraph" w:styleId="Heading2">
    <w:name w:val="heading 2"/>
    <w:basedOn w:val="Normal"/>
    <w:next w:val="Normal"/>
    <w:link w:val="Heading2Char"/>
    <w:uiPriority w:val="9"/>
    <w:unhideWhenUsed/>
    <w:qFormat/>
    <w:rsid w:val="00882D54"/>
    <w:pPr>
      <w:keepNext/>
      <w:keepLines/>
      <w:spacing w:before="240" w:after="0"/>
      <w:outlineLvl w:val="1"/>
    </w:pPr>
    <w:rPr>
      <w:rFonts w:asciiTheme="majorHAnsi" w:eastAsiaTheme="majorEastAsia" w:hAnsiTheme="majorHAnsi" w:cstheme="majorBidi"/>
      <w:b/>
      <w:i/>
      <w:color w:val="000000" w:themeColor="text1"/>
      <w:sz w:val="24"/>
      <w:szCs w:val="26"/>
    </w:rPr>
  </w:style>
  <w:style w:type="paragraph" w:styleId="Heading3">
    <w:name w:val="heading 3"/>
    <w:basedOn w:val="Normal"/>
    <w:next w:val="Normal"/>
    <w:link w:val="Heading3Char"/>
    <w:uiPriority w:val="9"/>
    <w:unhideWhenUsed/>
    <w:qFormat/>
    <w:rsid w:val="00F04865"/>
    <w:pPr>
      <w:keepNext/>
      <w:keepLines/>
      <w:spacing w:before="40" w:after="0"/>
      <w:outlineLvl w:val="2"/>
    </w:pPr>
    <w:rPr>
      <w:rFonts w:asciiTheme="majorHAnsi" w:eastAsiaTheme="majorEastAsia" w:hAnsiTheme="majorHAnsi" w:cstheme="majorBidi"/>
      <w:b/>
      <w:i/>
      <w:color w:val="767171" w:themeColor="background2" w:themeShade="80"/>
      <w:sz w:val="24"/>
      <w:szCs w:val="24"/>
    </w:rPr>
  </w:style>
  <w:style w:type="paragraph" w:styleId="Heading4">
    <w:name w:val="heading 4"/>
    <w:basedOn w:val="Normal"/>
    <w:next w:val="Normal"/>
    <w:link w:val="Heading4Char"/>
    <w:uiPriority w:val="9"/>
    <w:unhideWhenUsed/>
    <w:qFormat/>
    <w:rsid w:val="00333B26"/>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1C23"/>
    <w:rPr>
      <w:rFonts w:asciiTheme="majorHAnsi" w:eastAsiaTheme="majorEastAsia" w:hAnsiTheme="majorHAnsi" w:cstheme="majorBidi"/>
      <w:b/>
      <w:color w:val="000000" w:themeColor="text1"/>
      <w:sz w:val="28"/>
      <w:szCs w:val="32"/>
    </w:rPr>
  </w:style>
  <w:style w:type="character" w:customStyle="1" w:styleId="Heading2Char">
    <w:name w:val="Heading 2 Char"/>
    <w:basedOn w:val="DefaultParagraphFont"/>
    <w:link w:val="Heading2"/>
    <w:uiPriority w:val="9"/>
    <w:rsid w:val="00882D54"/>
    <w:rPr>
      <w:rFonts w:asciiTheme="majorHAnsi" w:eastAsiaTheme="majorEastAsia" w:hAnsiTheme="majorHAnsi" w:cstheme="majorBidi"/>
      <w:b/>
      <w:i/>
      <w:color w:val="000000" w:themeColor="text1"/>
      <w:sz w:val="24"/>
      <w:szCs w:val="26"/>
    </w:rPr>
  </w:style>
  <w:style w:type="character" w:customStyle="1" w:styleId="Heading3Char">
    <w:name w:val="Heading 3 Char"/>
    <w:basedOn w:val="DefaultParagraphFont"/>
    <w:link w:val="Heading3"/>
    <w:uiPriority w:val="9"/>
    <w:rsid w:val="00F04865"/>
    <w:rPr>
      <w:rFonts w:asciiTheme="majorHAnsi" w:eastAsiaTheme="majorEastAsia" w:hAnsiTheme="majorHAnsi" w:cstheme="majorBidi"/>
      <w:b/>
      <w:i/>
      <w:color w:val="767171" w:themeColor="background2" w:themeShade="80"/>
      <w:sz w:val="24"/>
      <w:szCs w:val="24"/>
    </w:rPr>
  </w:style>
  <w:style w:type="paragraph" w:styleId="ListParagraph">
    <w:name w:val="List Paragraph"/>
    <w:basedOn w:val="Normal"/>
    <w:uiPriority w:val="34"/>
    <w:qFormat/>
    <w:rsid w:val="00CD0B41"/>
    <w:pPr>
      <w:ind w:left="720"/>
      <w:contextualSpacing/>
    </w:pPr>
  </w:style>
  <w:style w:type="paragraph" w:styleId="TOCHeading">
    <w:name w:val="TOC Heading"/>
    <w:basedOn w:val="Heading1"/>
    <w:next w:val="Normal"/>
    <w:uiPriority w:val="39"/>
    <w:unhideWhenUsed/>
    <w:qFormat/>
    <w:rsid w:val="00CD0B41"/>
    <w:pPr>
      <w:outlineLvl w:val="9"/>
    </w:pPr>
    <w:rPr>
      <w:lang w:val="en-US"/>
    </w:rPr>
  </w:style>
  <w:style w:type="paragraph" w:styleId="BalloonText">
    <w:name w:val="Balloon Text"/>
    <w:basedOn w:val="Normal"/>
    <w:link w:val="BalloonTextChar"/>
    <w:uiPriority w:val="99"/>
    <w:semiHidden/>
    <w:unhideWhenUsed/>
    <w:rsid w:val="005559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59AB"/>
    <w:rPr>
      <w:rFonts w:ascii="Segoe UI" w:hAnsi="Segoe UI" w:cs="Segoe UI"/>
      <w:sz w:val="18"/>
      <w:szCs w:val="18"/>
    </w:rPr>
  </w:style>
  <w:style w:type="character" w:styleId="CommentReference">
    <w:name w:val="annotation reference"/>
    <w:basedOn w:val="DefaultParagraphFont"/>
    <w:uiPriority w:val="99"/>
    <w:unhideWhenUsed/>
    <w:rsid w:val="00053663"/>
    <w:rPr>
      <w:sz w:val="16"/>
      <w:szCs w:val="16"/>
    </w:rPr>
  </w:style>
  <w:style w:type="paragraph" w:styleId="CommentText">
    <w:name w:val="annotation text"/>
    <w:basedOn w:val="Normal"/>
    <w:link w:val="CommentTextChar"/>
    <w:uiPriority w:val="99"/>
    <w:unhideWhenUsed/>
    <w:rsid w:val="00053663"/>
    <w:pPr>
      <w:spacing w:line="240" w:lineRule="auto"/>
    </w:pPr>
    <w:rPr>
      <w:sz w:val="20"/>
      <w:szCs w:val="20"/>
    </w:rPr>
  </w:style>
  <w:style w:type="character" w:customStyle="1" w:styleId="CommentTextChar">
    <w:name w:val="Comment Text Char"/>
    <w:basedOn w:val="DefaultParagraphFont"/>
    <w:link w:val="CommentText"/>
    <w:uiPriority w:val="99"/>
    <w:rsid w:val="00053663"/>
    <w:rPr>
      <w:sz w:val="20"/>
      <w:szCs w:val="20"/>
    </w:rPr>
  </w:style>
  <w:style w:type="paragraph" w:styleId="CommentSubject">
    <w:name w:val="annotation subject"/>
    <w:basedOn w:val="CommentText"/>
    <w:next w:val="CommentText"/>
    <w:link w:val="CommentSubjectChar"/>
    <w:uiPriority w:val="99"/>
    <w:semiHidden/>
    <w:unhideWhenUsed/>
    <w:rsid w:val="00053663"/>
    <w:rPr>
      <w:b/>
      <w:bCs/>
    </w:rPr>
  </w:style>
  <w:style w:type="character" w:customStyle="1" w:styleId="CommentSubjectChar">
    <w:name w:val="Comment Subject Char"/>
    <w:basedOn w:val="CommentTextChar"/>
    <w:link w:val="CommentSubject"/>
    <w:uiPriority w:val="99"/>
    <w:semiHidden/>
    <w:rsid w:val="00053663"/>
    <w:rPr>
      <w:b/>
      <w:bCs/>
      <w:sz w:val="20"/>
      <w:szCs w:val="20"/>
    </w:rPr>
  </w:style>
  <w:style w:type="character" w:styleId="Hyperlink">
    <w:name w:val="Hyperlink"/>
    <w:basedOn w:val="DefaultParagraphFont"/>
    <w:uiPriority w:val="99"/>
    <w:unhideWhenUsed/>
    <w:rsid w:val="00207802"/>
    <w:rPr>
      <w:color w:val="0563C1" w:themeColor="hyperlink"/>
      <w:u w:val="single"/>
    </w:rPr>
  </w:style>
  <w:style w:type="paragraph" w:styleId="Header">
    <w:name w:val="header"/>
    <w:basedOn w:val="Normal"/>
    <w:link w:val="HeaderChar"/>
    <w:uiPriority w:val="99"/>
    <w:unhideWhenUsed/>
    <w:rsid w:val="00207802"/>
    <w:pPr>
      <w:tabs>
        <w:tab w:val="center" w:pos="4536"/>
        <w:tab w:val="right" w:pos="9072"/>
      </w:tabs>
      <w:spacing w:after="0" w:line="240" w:lineRule="auto"/>
    </w:pPr>
  </w:style>
  <w:style w:type="character" w:customStyle="1" w:styleId="HeaderChar">
    <w:name w:val="Header Char"/>
    <w:basedOn w:val="DefaultParagraphFont"/>
    <w:link w:val="Header"/>
    <w:uiPriority w:val="99"/>
    <w:rsid w:val="00207802"/>
  </w:style>
  <w:style w:type="paragraph" w:styleId="Footer">
    <w:name w:val="footer"/>
    <w:basedOn w:val="Normal"/>
    <w:link w:val="FooterChar"/>
    <w:uiPriority w:val="99"/>
    <w:unhideWhenUsed/>
    <w:rsid w:val="00207802"/>
    <w:pPr>
      <w:tabs>
        <w:tab w:val="center" w:pos="4536"/>
        <w:tab w:val="right" w:pos="9072"/>
      </w:tabs>
      <w:spacing w:after="0" w:line="240" w:lineRule="auto"/>
    </w:pPr>
  </w:style>
  <w:style w:type="character" w:customStyle="1" w:styleId="FooterChar">
    <w:name w:val="Footer Char"/>
    <w:basedOn w:val="DefaultParagraphFont"/>
    <w:link w:val="Footer"/>
    <w:uiPriority w:val="99"/>
    <w:rsid w:val="00207802"/>
  </w:style>
  <w:style w:type="character" w:customStyle="1" w:styleId="msg">
    <w:name w:val="msg"/>
    <w:basedOn w:val="DefaultParagraphFont"/>
    <w:uiPriority w:val="99"/>
    <w:rsid w:val="00207802"/>
    <w:rPr>
      <w:rFonts w:cs="Times New Roman"/>
    </w:rPr>
  </w:style>
  <w:style w:type="character" w:styleId="LineNumber">
    <w:name w:val="line number"/>
    <w:basedOn w:val="DefaultParagraphFont"/>
    <w:uiPriority w:val="99"/>
    <w:semiHidden/>
    <w:unhideWhenUsed/>
    <w:rsid w:val="00207802"/>
  </w:style>
  <w:style w:type="character" w:styleId="PlaceholderText">
    <w:name w:val="Placeholder Text"/>
    <w:basedOn w:val="DefaultParagraphFont"/>
    <w:uiPriority w:val="99"/>
    <w:semiHidden/>
    <w:rsid w:val="008E4582"/>
    <w:rPr>
      <w:color w:val="808080"/>
    </w:rPr>
  </w:style>
  <w:style w:type="character" w:styleId="Emphasis">
    <w:name w:val="Emphasis"/>
    <w:basedOn w:val="DefaultParagraphFont"/>
    <w:uiPriority w:val="20"/>
    <w:qFormat/>
    <w:rsid w:val="00B21C23"/>
    <w:rPr>
      <w:rFonts w:cs="Times New Roman"/>
      <w:i/>
    </w:rPr>
  </w:style>
  <w:style w:type="character" w:customStyle="1" w:styleId="Heading4Char">
    <w:name w:val="Heading 4 Char"/>
    <w:basedOn w:val="DefaultParagraphFont"/>
    <w:link w:val="Heading4"/>
    <w:uiPriority w:val="9"/>
    <w:rsid w:val="00333B26"/>
    <w:rPr>
      <w:rFonts w:asciiTheme="majorHAnsi" w:eastAsiaTheme="majorEastAsia" w:hAnsiTheme="majorHAnsi" w:cstheme="majorBidi"/>
      <w:i/>
      <w:iCs/>
      <w:color w:val="2F5496" w:themeColor="accent1" w:themeShade="BF"/>
    </w:rPr>
  </w:style>
  <w:style w:type="paragraph" w:styleId="NormalWeb">
    <w:name w:val="Normal (Web)"/>
    <w:basedOn w:val="Normal"/>
    <w:uiPriority w:val="99"/>
    <w:semiHidden/>
    <w:unhideWhenUsed/>
    <w:rsid w:val="00C4083C"/>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Strong">
    <w:name w:val="Strong"/>
    <w:basedOn w:val="DefaultParagraphFont"/>
    <w:uiPriority w:val="22"/>
    <w:qFormat/>
    <w:rsid w:val="00F43E92"/>
    <w:rPr>
      <w:b/>
      <w:bCs/>
    </w:rPr>
  </w:style>
  <w:style w:type="character" w:customStyle="1" w:styleId="citation-doi">
    <w:name w:val="citation-doi"/>
    <w:basedOn w:val="DefaultParagraphFont"/>
    <w:rsid w:val="00BA1C2F"/>
  </w:style>
  <w:style w:type="character" w:customStyle="1" w:styleId="referencesnote">
    <w:name w:val="references__note"/>
    <w:basedOn w:val="DefaultParagraphFont"/>
    <w:rsid w:val="00D66167"/>
  </w:style>
  <w:style w:type="character" w:customStyle="1" w:styleId="referencesyear">
    <w:name w:val="references__year"/>
    <w:basedOn w:val="DefaultParagraphFont"/>
    <w:rsid w:val="00D66167"/>
  </w:style>
  <w:style w:type="character" w:customStyle="1" w:styleId="referencessuffix">
    <w:name w:val="references__suffix"/>
    <w:basedOn w:val="DefaultParagraphFont"/>
    <w:rsid w:val="00D66167"/>
  </w:style>
  <w:style w:type="character" w:customStyle="1" w:styleId="label">
    <w:name w:val="label"/>
    <w:basedOn w:val="DefaultParagraphFont"/>
    <w:rsid w:val="00D66167"/>
  </w:style>
  <w:style w:type="paragraph" w:styleId="Revision">
    <w:name w:val="Revision"/>
    <w:hidden/>
    <w:uiPriority w:val="99"/>
    <w:semiHidden/>
    <w:rsid w:val="004442D4"/>
    <w:pPr>
      <w:spacing w:after="0" w:line="240" w:lineRule="auto"/>
    </w:pPr>
    <w:rPr>
      <w:rFonts w:ascii="Calibri" w:hAnsi="Calibri"/>
    </w:rPr>
  </w:style>
  <w:style w:type="character" w:styleId="FollowedHyperlink">
    <w:name w:val="FollowedHyperlink"/>
    <w:basedOn w:val="DefaultParagraphFont"/>
    <w:uiPriority w:val="99"/>
    <w:semiHidden/>
    <w:unhideWhenUsed/>
    <w:rsid w:val="00C27309"/>
    <w:rPr>
      <w:color w:val="954F72" w:themeColor="followedHyperlink"/>
      <w:u w:val="single"/>
    </w:rPr>
  </w:style>
  <w:style w:type="paragraph" w:styleId="PlainText">
    <w:name w:val="Plain Text"/>
    <w:basedOn w:val="Normal"/>
    <w:link w:val="PlainTextChar"/>
    <w:uiPriority w:val="99"/>
    <w:unhideWhenUsed/>
    <w:rsid w:val="00F01434"/>
    <w:pPr>
      <w:spacing w:before="240" w:after="240" w:line="240" w:lineRule="auto"/>
    </w:pPr>
    <w:rPr>
      <w:rFonts w:eastAsia="Calibri" w:cs="Times New Roman"/>
      <w:szCs w:val="21"/>
      <w:lang w:val="de-DE"/>
    </w:rPr>
  </w:style>
  <w:style w:type="character" w:customStyle="1" w:styleId="PlainTextChar">
    <w:name w:val="Plain Text Char"/>
    <w:basedOn w:val="DefaultParagraphFont"/>
    <w:link w:val="PlainText"/>
    <w:uiPriority w:val="99"/>
    <w:rsid w:val="00F01434"/>
    <w:rPr>
      <w:rFonts w:ascii="Calibri" w:eastAsia="Calibri" w:hAnsi="Calibri" w:cs="Times New Roman"/>
      <w:szCs w:val="21"/>
      <w:lang w:val="de-DE"/>
    </w:rPr>
  </w:style>
  <w:style w:type="character" w:styleId="PageNumber">
    <w:name w:val="page number"/>
    <w:basedOn w:val="DefaultParagraphFont"/>
    <w:rsid w:val="007836A5"/>
  </w:style>
  <w:style w:type="character" w:customStyle="1" w:styleId="fontstyle01">
    <w:name w:val="fontstyle01"/>
    <w:basedOn w:val="DefaultParagraphFont"/>
    <w:rsid w:val="00027929"/>
    <w:rPr>
      <w:rFonts w:ascii="Times-Roman" w:hAnsi="Times-Roman" w:hint="default"/>
      <w:b w:val="0"/>
      <w:bCs w:val="0"/>
      <w:i w:val="0"/>
      <w:iCs w:val="0"/>
      <w:color w:val="000000"/>
      <w:sz w:val="20"/>
      <w:szCs w:val="20"/>
    </w:rPr>
  </w:style>
  <w:style w:type="table" w:styleId="TableGrid">
    <w:name w:val="Table Grid"/>
    <w:basedOn w:val="TableNormal"/>
    <w:uiPriority w:val="39"/>
    <w:rsid w:val="00EB25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itation-part">
    <w:name w:val="citation-part"/>
    <w:basedOn w:val="DefaultParagraphFont"/>
    <w:rsid w:val="003A4500"/>
  </w:style>
  <w:style w:type="character" w:customStyle="1" w:styleId="docsum-pmid">
    <w:name w:val="docsum-pmid"/>
    <w:basedOn w:val="DefaultParagraphFont"/>
    <w:rsid w:val="003A4500"/>
  </w:style>
  <w:style w:type="character" w:customStyle="1" w:styleId="id-label">
    <w:name w:val="id-label"/>
    <w:basedOn w:val="DefaultParagraphFont"/>
    <w:rsid w:val="003A4500"/>
  </w:style>
  <w:style w:type="character" w:customStyle="1" w:styleId="NichtaufgelsteErwhnung1">
    <w:name w:val="Nicht aufgelöste Erwähnung1"/>
    <w:basedOn w:val="DefaultParagraphFont"/>
    <w:uiPriority w:val="99"/>
    <w:semiHidden/>
    <w:unhideWhenUsed/>
    <w:rsid w:val="00405B2A"/>
    <w:rPr>
      <w:color w:val="605E5C"/>
      <w:shd w:val="clear" w:color="auto" w:fill="E1DFDD"/>
    </w:rPr>
  </w:style>
  <w:style w:type="paragraph" w:styleId="TOC1">
    <w:name w:val="toc 1"/>
    <w:basedOn w:val="Normal"/>
    <w:next w:val="Normal"/>
    <w:autoRedefine/>
    <w:uiPriority w:val="39"/>
    <w:unhideWhenUsed/>
    <w:rsid w:val="00DF170A"/>
    <w:pPr>
      <w:spacing w:after="100"/>
    </w:pPr>
  </w:style>
  <w:style w:type="paragraph" w:styleId="TOC2">
    <w:name w:val="toc 2"/>
    <w:basedOn w:val="Normal"/>
    <w:next w:val="Normal"/>
    <w:autoRedefine/>
    <w:uiPriority w:val="39"/>
    <w:unhideWhenUsed/>
    <w:rsid w:val="00DF170A"/>
    <w:pPr>
      <w:spacing w:after="100"/>
      <w:ind w:left="220"/>
    </w:pPr>
  </w:style>
  <w:style w:type="paragraph" w:styleId="TOC3">
    <w:name w:val="toc 3"/>
    <w:basedOn w:val="Normal"/>
    <w:next w:val="Normal"/>
    <w:autoRedefine/>
    <w:uiPriority w:val="39"/>
    <w:unhideWhenUsed/>
    <w:rsid w:val="00DF170A"/>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784408">
      <w:bodyDiv w:val="1"/>
      <w:marLeft w:val="0"/>
      <w:marRight w:val="0"/>
      <w:marTop w:val="0"/>
      <w:marBottom w:val="0"/>
      <w:divBdr>
        <w:top w:val="none" w:sz="0" w:space="0" w:color="auto"/>
        <w:left w:val="none" w:sz="0" w:space="0" w:color="auto"/>
        <w:bottom w:val="none" w:sz="0" w:space="0" w:color="auto"/>
        <w:right w:val="none" w:sz="0" w:space="0" w:color="auto"/>
      </w:divBdr>
    </w:div>
    <w:div w:id="87123056">
      <w:bodyDiv w:val="1"/>
      <w:marLeft w:val="0"/>
      <w:marRight w:val="0"/>
      <w:marTop w:val="0"/>
      <w:marBottom w:val="0"/>
      <w:divBdr>
        <w:top w:val="none" w:sz="0" w:space="0" w:color="auto"/>
        <w:left w:val="none" w:sz="0" w:space="0" w:color="auto"/>
        <w:bottom w:val="none" w:sz="0" w:space="0" w:color="auto"/>
        <w:right w:val="none" w:sz="0" w:space="0" w:color="auto"/>
      </w:divBdr>
    </w:div>
    <w:div w:id="369111869">
      <w:bodyDiv w:val="1"/>
      <w:marLeft w:val="0"/>
      <w:marRight w:val="0"/>
      <w:marTop w:val="0"/>
      <w:marBottom w:val="0"/>
      <w:divBdr>
        <w:top w:val="none" w:sz="0" w:space="0" w:color="auto"/>
        <w:left w:val="none" w:sz="0" w:space="0" w:color="auto"/>
        <w:bottom w:val="none" w:sz="0" w:space="0" w:color="auto"/>
        <w:right w:val="none" w:sz="0" w:space="0" w:color="auto"/>
      </w:divBdr>
    </w:div>
    <w:div w:id="478688335">
      <w:bodyDiv w:val="1"/>
      <w:marLeft w:val="0"/>
      <w:marRight w:val="0"/>
      <w:marTop w:val="0"/>
      <w:marBottom w:val="0"/>
      <w:divBdr>
        <w:top w:val="none" w:sz="0" w:space="0" w:color="auto"/>
        <w:left w:val="none" w:sz="0" w:space="0" w:color="auto"/>
        <w:bottom w:val="none" w:sz="0" w:space="0" w:color="auto"/>
        <w:right w:val="none" w:sz="0" w:space="0" w:color="auto"/>
      </w:divBdr>
    </w:div>
    <w:div w:id="663583825">
      <w:bodyDiv w:val="1"/>
      <w:marLeft w:val="0"/>
      <w:marRight w:val="0"/>
      <w:marTop w:val="0"/>
      <w:marBottom w:val="0"/>
      <w:divBdr>
        <w:top w:val="none" w:sz="0" w:space="0" w:color="auto"/>
        <w:left w:val="none" w:sz="0" w:space="0" w:color="auto"/>
        <w:bottom w:val="none" w:sz="0" w:space="0" w:color="auto"/>
        <w:right w:val="none" w:sz="0" w:space="0" w:color="auto"/>
      </w:divBdr>
    </w:div>
    <w:div w:id="756757017">
      <w:bodyDiv w:val="1"/>
      <w:marLeft w:val="0"/>
      <w:marRight w:val="0"/>
      <w:marTop w:val="0"/>
      <w:marBottom w:val="0"/>
      <w:divBdr>
        <w:top w:val="none" w:sz="0" w:space="0" w:color="auto"/>
        <w:left w:val="none" w:sz="0" w:space="0" w:color="auto"/>
        <w:bottom w:val="none" w:sz="0" w:space="0" w:color="auto"/>
        <w:right w:val="none" w:sz="0" w:space="0" w:color="auto"/>
      </w:divBdr>
    </w:div>
    <w:div w:id="780731340">
      <w:bodyDiv w:val="1"/>
      <w:marLeft w:val="0"/>
      <w:marRight w:val="0"/>
      <w:marTop w:val="0"/>
      <w:marBottom w:val="0"/>
      <w:divBdr>
        <w:top w:val="none" w:sz="0" w:space="0" w:color="auto"/>
        <w:left w:val="none" w:sz="0" w:space="0" w:color="auto"/>
        <w:bottom w:val="none" w:sz="0" w:space="0" w:color="auto"/>
        <w:right w:val="none" w:sz="0" w:space="0" w:color="auto"/>
      </w:divBdr>
      <w:divsChild>
        <w:div w:id="833497098">
          <w:marLeft w:val="0"/>
          <w:marRight w:val="0"/>
          <w:marTop w:val="0"/>
          <w:marBottom w:val="240"/>
          <w:divBdr>
            <w:top w:val="none" w:sz="0" w:space="0" w:color="auto"/>
            <w:left w:val="none" w:sz="0" w:space="0" w:color="auto"/>
            <w:bottom w:val="none" w:sz="0" w:space="0" w:color="auto"/>
            <w:right w:val="none" w:sz="0" w:space="0" w:color="auto"/>
          </w:divBdr>
        </w:div>
      </w:divsChild>
    </w:div>
    <w:div w:id="853151626">
      <w:bodyDiv w:val="1"/>
      <w:marLeft w:val="0"/>
      <w:marRight w:val="0"/>
      <w:marTop w:val="0"/>
      <w:marBottom w:val="0"/>
      <w:divBdr>
        <w:top w:val="none" w:sz="0" w:space="0" w:color="auto"/>
        <w:left w:val="none" w:sz="0" w:space="0" w:color="auto"/>
        <w:bottom w:val="none" w:sz="0" w:space="0" w:color="auto"/>
        <w:right w:val="none" w:sz="0" w:space="0" w:color="auto"/>
      </w:divBdr>
    </w:div>
    <w:div w:id="904679308">
      <w:bodyDiv w:val="1"/>
      <w:marLeft w:val="0"/>
      <w:marRight w:val="0"/>
      <w:marTop w:val="0"/>
      <w:marBottom w:val="0"/>
      <w:divBdr>
        <w:top w:val="none" w:sz="0" w:space="0" w:color="auto"/>
        <w:left w:val="none" w:sz="0" w:space="0" w:color="auto"/>
        <w:bottom w:val="none" w:sz="0" w:space="0" w:color="auto"/>
        <w:right w:val="none" w:sz="0" w:space="0" w:color="auto"/>
      </w:divBdr>
    </w:div>
    <w:div w:id="918558936">
      <w:bodyDiv w:val="1"/>
      <w:marLeft w:val="0"/>
      <w:marRight w:val="0"/>
      <w:marTop w:val="0"/>
      <w:marBottom w:val="0"/>
      <w:divBdr>
        <w:top w:val="none" w:sz="0" w:space="0" w:color="auto"/>
        <w:left w:val="none" w:sz="0" w:space="0" w:color="auto"/>
        <w:bottom w:val="none" w:sz="0" w:space="0" w:color="auto"/>
        <w:right w:val="none" w:sz="0" w:space="0" w:color="auto"/>
      </w:divBdr>
    </w:div>
    <w:div w:id="937718845">
      <w:bodyDiv w:val="1"/>
      <w:marLeft w:val="0"/>
      <w:marRight w:val="0"/>
      <w:marTop w:val="0"/>
      <w:marBottom w:val="0"/>
      <w:divBdr>
        <w:top w:val="none" w:sz="0" w:space="0" w:color="auto"/>
        <w:left w:val="none" w:sz="0" w:space="0" w:color="auto"/>
        <w:bottom w:val="none" w:sz="0" w:space="0" w:color="auto"/>
        <w:right w:val="none" w:sz="0" w:space="0" w:color="auto"/>
      </w:divBdr>
    </w:div>
    <w:div w:id="978387790">
      <w:bodyDiv w:val="1"/>
      <w:marLeft w:val="0"/>
      <w:marRight w:val="0"/>
      <w:marTop w:val="0"/>
      <w:marBottom w:val="0"/>
      <w:divBdr>
        <w:top w:val="none" w:sz="0" w:space="0" w:color="auto"/>
        <w:left w:val="none" w:sz="0" w:space="0" w:color="auto"/>
        <w:bottom w:val="none" w:sz="0" w:space="0" w:color="auto"/>
        <w:right w:val="none" w:sz="0" w:space="0" w:color="auto"/>
      </w:divBdr>
    </w:div>
    <w:div w:id="1066993248">
      <w:bodyDiv w:val="1"/>
      <w:marLeft w:val="0"/>
      <w:marRight w:val="0"/>
      <w:marTop w:val="0"/>
      <w:marBottom w:val="0"/>
      <w:divBdr>
        <w:top w:val="none" w:sz="0" w:space="0" w:color="auto"/>
        <w:left w:val="none" w:sz="0" w:space="0" w:color="auto"/>
        <w:bottom w:val="none" w:sz="0" w:space="0" w:color="auto"/>
        <w:right w:val="none" w:sz="0" w:space="0" w:color="auto"/>
      </w:divBdr>
    </w:div>
    <w:div w:id="1071124571">
      <w:bodyDiv w:val="1"/>
      <w:marLeft w:val="0"/>
      <w:marRight w:val="0"/>
      <w:marTop w:val="0"/>
      <w:marBottom w:val="0"/>
      <w:divBdr>
        <w:top w:val="none" w:sz="0" w:space="0" w:color="auto"/>
        <w:left w:val="none" w:sz="0" w:space="0" w:color="auto"/>
        <w:bottom w:val="none" w:sz="0" w:space="0" w:color="auto"/>
        <w:right w:val="none" w:sz="0" w:space="0" w:color="auto"/>
      </w:divBdr>
    </w:div>
    <w:div w:id="1121799252">
      <w:bodyDiv w:val="1"/>
      <w:marLeft w:val="0"/>
      <w:marRight w:val="0"/>
      <w:marTop w:val="0"/>
      <w:marBottom w:val="0"/>
      <w:divBdr>
        <w:top w:val="none" w:sz="0" w:space="0" w:color="auto"/>
        <w:left w:val="none" w:sz="0" w:space="0" w:color="auto"/>
        <w:bottom w:val="none" w:sz="0" w:space="0" w:color="auto"/>
        <w:right w:val="none" w:sz="0" w:space="0" w:color="auto"/>
      </w:divBdr>
    </w:div>
    <w:div w:id="1197158474">
      <w:bodyDiv w:val="1"/>
      <w:marLeft w:val="0"/>
      <w:marRight w:val="0"/>
      <w:marTop w:val="0"/>
      <w:marBottom w:val="0"/>
      <w:divBdr>
        <w:top w:val="none" w:sz="0" w:space="0" w:color="auto"/>
        <w:left w:val="none" w:sz="0" w:space="0" w:color="auto"/>
        <w:bottom w:val="none" w:sz="0" w:space="0" w:color="auto"/>
        <w:right w:val="none" w:sz="0" w:space="0" w:color="auto"/>
      </w:divBdr>
    </w:div>
    <w:div w:id="1216040580">
      <w:bodyDiv w:val="1"/>
      <w:marLeft w:val="0"/>
      <w:marRight w:val="0"/>
      <w:marTop w:val="0"/>
      <w:marBottom w:val="0"/>
      <w:divBdr>
        <w:top w:val="none" w:sz="0" w:space="0" w:color="auto"/>
        <w:left w:val="none" w:sz="0" w:space="0" w:color="auto"/>
        <w:bottom w:val="none" w:sz="0" w:space="0" w:color="auto"/>
        <w:right w:val="none" w:sz="0" w:space="0" w:color="auto"/>
      </w:divBdr>
    </w:div>
    <w:div w:id="1281305646">
      <w:bodyDiv w:val="1"/>
      <w:marLeft w:val="0"/>
      <w:marRight w:val="0"/>
      <w:marTop w:val="0"/>
      <w:marBottom w:val="0"/>
      <w:divBdr>
        <w:top w:val="none" w:sz="0" w:space="0" w:color="auto"/>
        <w:left w:val="none" w:sz="0" w:space="0" w:color="auto"/>
        <w:bottom w:val="none" w:sz="0" w:space="0" w:color="auto"/>
        <w:right w:val="none" w:sz="0" w:space="0" w:color="auto"/>
      </w:divBdr>
    </w:div>
    <w:div w:id="1283729418">
      <w:bodyDiv w:val="1"/>
      <w:marLeft w:val="0"/>
      <w:marRight w:val="0"/>
      <w:marTop w:val="0"/>
      <w:marBottom w:val="0"/>
      <w:divBdr>
        <w:top w:val="none" w:sz="0" w:space="0" w:color="auto"/>
        <w:left w:val="none" w:sz="0" w:space="0" w:color="auto"/>
        <w:bottom w:val="none" w:sz="0" w:space="0" w:color="auto"/>
        <w:right w:val="none" w:sz="0" w:space="0" w:color="auto"/>
      </w:divBdr>
    </w:div>
    <w:div w:id="1287929598">
      <w:bodyDiv w:val="1"/>
      <w:marLeft w:val="0"/>
      <w:marRight w:val="0"/>
      <w:marTop w:val="0"/>
      <w:marBottom w:val="0"/>
      <w:divBdr>
        <w:top w:val="none" w:sz="0" w:space="0" w:color="auto"/>
        <w:left w:val="none" w:sz="0" w:space="0" w:color="auto"/>
        <w:bottom w:val="none" w:sz="0" w:space="0" w:color="auto"/>
        <w:right w:val="none" w:sz="0" w:space="0" w:color="auto"/>
      </w:divBdr>
    </w:div>
    <w:div w:id="1407728478">
      <w:bodyDiv w:val="1"/>
      <w:marLeft w:val="0"/>
      <w:marRight w:val="0"/>
      <w:marTop w:val="0"/>
      <w:marBottom w:val="0"/>
      <w:divBdr>
        <w:top w:val="none" w:sz="0" w:space="0" w:color="auto"/>
        <w:left w:val="none" w:sz="0" w:space="0" w:color="auto"/>
        <w:bottom w:val="none" w:sz="0" w:space="0" w:color="auto"/>
        <w:right w:val="none" w:sz="0" w:space="0" w:color="auto"/>
      </w:divBdr>
    </w:div>
    <w:div w:id="1414665836">
      <w:bodyDiv w:val="1"/>
      <w:marLeft w:val="0"/>
      <w:marRight w:val="0"/>
      <w:marTop w:val="0"/>
      <w:marBottom w:val="0"/>
      <w:divBdr>
        <w:top w:val="none" w:sz="0" w:space="0" w:color="auto"/>
        <w:left w:val="none" w:sz="0" w:space="0" w:color="auto"/>
        <w:bottom w:val="none" w:sz="0" w:space="0" w:color="auto"/>
        <w:right w:val="none" w:sz="0" w:space="0" w:color="auto"/>
      </w:divBdr>
    </w:div>
    <w:div w:id="1474298277">
      <w:bodyDiv w:val="1"/>
      <w:marLeft w:val="0"/>
      <w:marRight w:val="0"/>
      <w:marTop w:val="0"/>
      <w:marBottom w:val="0"/>
      <w:divBdr>
        <w:top w:val="none" w:sz="0" w:space="0" w:color="auto"/>
        <w:left w:val="none" w:sz="0" w:space="0" w:color="auto"/>
        <w:bottom w:val="none" w:sz="0" w:space="0" w:color="auto"/>
        <w:right w:val="none" w:sz="0" w:space="0" w:color="auto"/>
      </w:divBdr>
    </w:div>
    <w:div w:id="1516310172">
      <w:bodyDiv w:val="1"/>
      <w:marLeft w:val="0"/>
      <w:marRight w:val="0"/>
      <w:marTop w:val="0"/>
      <w:marBottom w:val="0"/>
      <w:divBdr>
        <w:top w:val="none" w:sz="0" w:space="0" w:color="auto"/>
        <w:left w:val="none" w:sz="0" w:space="0" w:color="auto"/>
        <w:bottom w:val="none" w:sz="0" w:space="0" w:color="auto"/>
        <w:right w:val="none" w:sz="0" w:space="0" w:color="auto"/>
      </w:divBdr>
    </w:div>
    <w:div w:id="1645505995">
      <w:bodyDiv w:val="1"/>
      <w:marLeft w:val="0"/>
      <w:marRight w:val="0"/>
      <w:marTop w:val="0"/>
      <w:marBottom w:val="0"/>
      <w:divBdr>
        <w:top w:val="none" w:sz="0" w:space="0" w:color="auto"/>
        <w:left w:val="none" w:sz="0" w:space="0" w:color="auto"/>
        <w:bottom w:val="none" w:sz="0" w:space="0" w:color="auto"/>
        <w:right w:val="none" w:sz="0" w:space="0" w:color="auto"/>
      </w:divBdr>
    </w:div>
    <w:div w:id="1706099056">
      <w:bodyDiv w:val="1"/>
      <w:marLeft w:val="0"/>
      <w:marRight w:val="0"/>
      <w:marTop w:val="0"/>
      <w:marBottom w:val="0"/>
      <w:divBdr>
        <w:top w:val="none" w:sz="0" w:space="0" w:color="auto"/>
        <w:left w:val="none" w:sz="0" w:space="0" w:color="auto"/>
        <w:bottom w:val="none" w:sz="0" w:space="0" w:color="auto"/>
        <w:right w:val="none" w:sz="0" w:space="0" w:color="auto"/>
      </w:divBdr>
    </w:div>
    <w:div w:id="1877965869">
      <w:bodyDiv w:val="1"/>
      <w:marLeft w:val="0"/>
      <w:marRight w:val="0"/>
      <w:marTop w:val="0"/>
      <w:marBottom w:val="0"/>
      <w:divBdr>
        <w:top w:val="none" w:sz="0" w:space="0" w:color="auto"/>
        <w:left w:val="none" w:sz="0" w:space="0" w:color="auto"/>
        <w:bottom w:val="none" w:sz="0" w:space="0" w:color="auto"/>
        <w:right w:val="none" w:sz="0" w:space="0" w:color="auto"/>
      </w:divBdr>
    </w:div>
    <w:div w:id="2019305714">
      <w:bodyDiv w:val="1"/>
      <w:marLeft w:val="0"/>
      <w:marRight w:val="0"/>
      <w:marTop w:val="0"/>
      <w:marBottom w:val="0"/>
      <w:divBdr>
        <w:top w:val="none" w:sz="0" w:space="0" w:color="auto"/>
        <w:left w:val="none" w:sz="0" w:space="0" w:color="auto"/>
        <w:bottom w:val="none" w:sz="0" w:space="0" w:color="auto"/>
        <w:right w:val="none" w:sz="0" w:space="0" w:color="auto"/>
      </w:divBdr>
    </w:div>
    <w:div w:id="2060860516">
      <w:bodyDiv w:val="1"/>
      <w:marLeft w:val="0"/>
      <w:marRight w:val="0"/>
      <w:marTop w:val="0"/>
      <w:marBottom w:val="0"/>
      <w:divBdr>
        <w:top w:val="none" w:sz="0" w:space="0" w:color="auto"/>
        <w:left w:val="none" w:sz="0" w:space="0" w:color="auto"/>
        <w:bottom w:val="none" w:sz="0" w:space="0" w:color="auto"/>
        <w:right w:val="none" w:sz="0" w:space="0" w:color="auto"/>
      </w:divBdr>
    </w:div>
    <w:div w:id="2123065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iels.voigt@med.uni-goettingen.de" TargetMode="External"/><Relationship Id="rId13" Type="http://schemas.openxmlformats.org/officeDocument/2006/relationships/image" Target="media/image1.pn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christof.lenz@med.uni-goettingen.de" TargetMode="Externa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70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FD1C564-7710-461C-81EF-C3AB1B0A5BB3}">
  <we:reference id="wa104382081" version="1.46.0.0" store="de-DE" storeType="OMEX"/>
  <we:alternateReferences>
    <we:reference id="wa104382081" version="1.46.0.0" store="" storeType="OMEX"/>
  </we:alternateReferences>
  <we:properties>
    <we:property name="MENDELEY_CITATIONS_STYLE" value="{&quot;id&quot;:&quot;https://www.zotero.org/styles/american-heart-association&quot;,&quot;title&quot;:&quot;American Heart Association&quot;,&quot;format&quot;:&quot;numeric&quot;}"/>
    <we:property name="MENDELEY_CITATIONS" value="[{&quot;citationID&quot;:&quot;MENDELEY_CITATION_dbfd3446-77b9-42cc-975a-159d89af97a0&quot;,&quot;properties&quot;:{&quot;noteIndex&quot;:0},&quot;isEdited&quot;:false,&quot;manualOverride&quot;:{&quot;isManuallyOverridden&quot;:false,&quot;citeprocText&quot;:&quot;&lt;sup&gt;1&lt;/sup&gt;&quot;,&quot;manualOverrideText&quot;:&quot;&quot;},&quot;citationTag&quot;:&quot;MENDELEY_CITATION_v3_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&quot;,&quot;citationItems&quot;:[{&quot;id&quot;:&quot;8548d634-e8d2-358b-a7ca-c27c21956800&quot;,&quot;itemData&quot;:{&quot;type&quot;:&quot;article-journal&quot;,&quot;id&quot;:&quot;8548d634-e8d2-358b-a7ca-c27c21956800&quot;,&quot;title&quot;:&quot;Role of IKur in controlling action potential shape and contractility in the human atrium: Influence of chronic atrial fibrillation&quot;,&quot;author&quot;:[{&quot;family&quot;:&quot;Wettwer&quot;,&quot;given&quot;:&quot;Erich&quot;,&quot;parse-names&quot;:false,&quot;dropping-particle&quot;:&quot;&quot;,&quot;non-dropping-particle&quot;:&quot;&quot;},{&quot;family&quot;:&quot;Hála&quot;,&quot;given&quot;:&quot;Ottó&quot;,&quot;parse-names&quot;:false,&quot;dropping-particle&quot;:&quot;&quot;,&quot;non-dropping-particle&quot;:&quot;&quot;},{&quot;family&quot;:&quot;Christ&quot;,&quot;given&quot;:&quot;Torsten&quot;,&quot;parse-names&quot;:false,&quot;dropping-particle&quot;:&quot;&quot;,&quot;non-dropping-particle&quot;:&quot;&quot;},{&quot;family&quot;:&quot;Heubach&quot;,&quot;given&quot;:&quot;Jürgen F.&quot;,&quot;parse-names&quot;:false,&quot;dropping-particle&quot;:&quot;&quot;,&quot;non-dropping-particle&quot;:&quot;&quot;},{&quot;family&quot;:&quot;Dobrev&quot;,&quot;given&quot;:&quot;Dobromir&quot;,&quot;parse-names&quot;:false,&quot;dropping-particle&quot;:&quot;&quot;,&quot;non-dropping-particle&quot;:&quot;&quot;},{&quot;family&quot;:&quot;Knaut&quot;,&quot;given&quot;:&quot;Michael&quot;,&quot;parse-names&quot;:false,&quot;dropping-particle&quot;:&quot;&quot;,&quot;non-dropping-particle&quot;:&quot;&quot;},{&quot;family&quot;:&quot;Varró&quot;,&quot;given&quot;:&quot;András&quot;,&quot;parse-names&quot;:false,&quot;dropping-particle&quot;:&quot;&quot;,&quot;non-dropping-particle&quot;:&quot;&quot;},{&quot;family&quot;:&quot;Ravens&quot;,&quot;given&quot;:&quot;Ursula&quot;,&quot;parse-names&quot;:false,&quot;dropping-particle&quot;:&quot;&quot;,&quot;non-dropping-particle&quot;:&quot;&quot;}],&quot;container-title&quot;:&quot;Circulation&quot;,&quot;container-title-short&quot;:&quot;Circulation&quot;,&quot;accessed&quot;:{&quot;date-parts&quot;:[[2022,5,13]]},&quot;DOI&quot;:&quot;10.1161/01.CIR.0000145155.60288.71&quot;,&quot;ISSN&quot;:&quot;00097322&quot;,&quot;PMID&quot;:&quot;15477405&quot;,&quot;URL&quot;:&quot;https://www.ahajournals.org/doi/10.1161/01.CIR.0000145155.60288.71&quot;,&quot;issued&quot;:{&quot;date-parts&quot;:[[2004,10,19]]},&quot;page&quot;:&quot;2299-2306&quot;,&quot;abstract&quot;:&quot;Background - The ultrarapid outward current IKur is a major repolarizing current in human atrium and a potential target for treating atrial arrhythmias. The effects of selective block of IKur by low concentrations of 4-aminopyridine of or the biphenyl derivative AVE 0118 were investigated on right atrial action potentials (APs) in trabeculae from patients in sinus rhythm (SR) or chronic atrial fibrillation (AF). Methods and Results - AP duration at 90% repolarization (APD90) was shorter in AF than in SR (300±16 ms, n = 6, versus 414±10 ms, n = 15), whereas APD 20 was longer (35±9 ms in AF versus 5±2 ms in SR, P &lt; 0.05). 4-Aminopyridine (5 μmol/L) elevated the plateau to more positive potentials from -21±3 to -6±3 mV in SR and 0±3 to +12±3 mV in AF. 4-Aminopyridine reversibly shortened APD90 from 414±10 to 350±10 ms in SR but prolonged APD90 from 300±16 to 320±13 ms in AF. Similar results were obtained with AVE 0118 (6 μmol/L). Computer simulations of IKur block in human atrial APs predicted secondary increases in ICa.L and in the outward rectifiers IKr and IKs, with smaller changes in AF than SR. The indirect increase in ICa.L was supported by a positive inotropic effect of 4-aminopyridine without direct effects on ICa.L in atrial but not ventricular preparations. In accordance with the model predictions, block of IKr with E-4031 converted APD shortening effects of IKur block in SR into AP prolongation. Conclusions - Whether inhibition of IKur prolongs or shortens APD depends on the disease status of the atria and is determined by the level of electrical remodeling.&quot;,&quot;publisher&quot;:&quot;Lippincott Williams &amp; Wilkins&quot;,&quot;issue&quot;:&quot;16&quot;,&quot;volume&quot;:&quot;110&quot;},&quot;isTemporary&quot;:fals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307AA4-2F05-480E-9AC4-D392FA4BC0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17813</Words>
  <Characters>101539</Characters>
  <Application>Microsoft Office Word</Application>
  <DocSecurity>0</DocSecurity>
  <Lines>846</Lines>
  <Paragraphs>238</Paragraphs>
  <ScaleCrop>false</ScaleCrop>
  <HeadingPairs>
    <vt:vector size="8" baseType="variant">
      <vt:variant>
        <vt:lpstr>Pavadinimas</vt:lpstr>
      </vt:variant>
      <vt:variant>
        <vt:i4>1</vt:i4>
      </vt:variant>
      <vt:variant>
        <vt:lpstr>Titel</vt:lpstr>
      </vt:variant>
      <vt:variant>
        <vt:i4>1</vt:i4>
      </vt:variant>
      <vt:variant>
        <vt:lpstr>Titre</vt:lpstr>
      </vt:variant>
      <vt:variant>
        <vt:i4>1</vt:i4>
      </vt:variant>
      <vt:variant>
        <vt:lpstr>Title</vt:lpstr>
      </vt:variant>
      <vt:variant>
        <vt:i4>1</vt:i4>
      </vt:variant>
    </vt:vector>
  </HeadingPairs>
  <TitlesOfParts>
    <vt:vector size="4" baseType="lpstr">
      <vt:lpstr/>
      <vt:lpstr/>
      <vt:lpstr/>
      <vt:lpstr/>
    </vt:vector>
  </TitlesOfParts>
  <Company/>
  <LinksUpToDate>false</LinksUpToDate>
  <CharactersWithSpaces>119114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Fakuade, Funsho</dc:creator>
  <cp:keywords/>
  <dc:description/>
  <cp:lastModifiedBy>Sarah Brown</cp:lastModifiedBy>
  <cp:revision>2</cp:revision>
  <cp:lastPrinted>2023-04-17T10:35:00Z</cp:lastPrinted>
  <dcterms:created xsi:type="dcterms:W3CDTF">2026-03-26T19:44:00Z</dcterms:created>
  <dcterms:modified xsi:type="dcterms:W3CDTF">2026-03-26T19:44:00Z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http://csl.mendeley.com/styles/562277271/apa</vt:lpwstr>
  </property>
  <property fmtid="{D5CDD505-2E9C-101B-9397-08002B2CF9AE}" pid="5" name="Mendeley Recent Style Name 1_1">
    <vt:lpwstr>American Psychological Association 7th edition - Funsho Fakuade</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http://www.zotero.org/styles/circulation</vt:lpwstr>
  </property>
  <property fmtid="{D5CDD505-2E9C-101B-9397-08002B2CF9AE}" pid="9" name="Mendeley Recent Style Name 3_1">
    <vt:lpwstr>Circulation</vt:lpwstr>
  </property>
  <property fmtid="{D5CDD505-2E9C-101B-9397-08002B2CF9AE}" pid="10" name="Mendeley Recent Style Id 4_1">
    <vt:lpwstr>http://csl.mendeley.com/styles/681893671/circulation-Aiste-Liutkute</vt:lpwstr>
  </property>
  <property fmtid="{D5CDD505-2E9C-101B-9397-08002B2CF9AE}" pid="11" name="Mendeley Recent Style Name 4_1">
    <vt:lpwstr>Circulation - Aiste Liutkute</vt:lpwstr>
  </property>
  <property fmtid="{D5CDD505-2E9C-101B-9397-08002B2CF9AE}" pid="12" name="Mendeley Recent Style Id 5_1">
    <vt:lpwstr>http://www.zotero.org/styles/european-society-of-cardiology</vt:lpwstr>
  </property>
  <property fmtid="{D5CDD505-2E9C-101B-9397-08002B2CF9AE}" pid="13" name="Mendeley Recent Style Name 5_1">
    <vt:lpwstr>European Society of Cardiology</vt:lpwstr>
  </property>
  <property fmtid="{D5CDD505-2E9C-101B-9397-08002B2CF9AE}" pid="14" name="Mendeley Recent Style Id 6_1">
    <vt:lpwstr>http://csl.mendeley.com/styles/681893671/european-society-of-cardiology-Aiste-Liutkute</vt:lpwstr>
  </property>
  <property fmtid="{D5CDD505-2E9C-101B-9397-08002B2CF9AE}" pid="15" name="Mendeley Recent Style Name 6_1">
    <vt:lpwstr>European Society of Cardiology - Aiste Liutkute</vt:lpwstr>
  </property>
  <property fmtid="{D5CDD505-2E9C-101B-9397-08002B2CF9AE}" pid="16" name="Mendeley Recent Style Id 7_1">
    <vt:lpwstr>http://csl.mendeley.com/styles/681893671/european-society-of-cardiology-Aiste-Liutkute-2</vt:lpwstr>
  </property>
  <property fmtid="{D5CDD505-2E9C-101B-9397-08002B2CF9AE}" pid="17" name="Mendeley Recent Style Name 7_1">
    <vt:lpwstr>European Society of Cardiology - Aiste Liutkute</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http://www.zotero.org/styles/vancouver</vt:lpwstr>
  </property>
  <property fmtid="{D5CDD505-2E9C-101B-9397-08002B2CF9AE}" pid="21" name="Mendeley Recent Style Name 9_1">
    <vt:lpwstr>Vancouver</vt:lpwstr>
  </property>
  <property fmtid="{D5CDD505-2E9C-101B-9397-08002B2CF9AE}" pid="22" name="Mendeley Document_1">
    <vt:lpwstr>True</vt:lpwstr>
  </property>
  <property fmtid="{D5CDD505-2E9C-101B-9397-08002B2CF9AE}" pid="23" name="Mendeley Unique User Id_1">
    <vt:lpwstr>7bcab3ac-44fa-3e8d-8b82-5031c892f19b</vt:lpwstr>
  </property>
  <property fmtid="{D5CDD505-2E9C-101B-9397-08002B2CF9AE}" pid="24" name="Mendeley Citation Style_1">
    <vt:lpwstr>http://csl.mendeley.com/styles/681893671/circulation-Aiste-Liutkute</vt:lpwstr>
  </property>
</Properties>
</file>